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97" w:rsidRPr="00635997" w:rsidRDefault="00635997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599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35997" w:rsidRPr="00635997" w:rsidRDefault="00635997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997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 "</w:t>
      </w:r>
      <w:proofErr w:type="gramStart"/>
      <w:r w:rsidRPr="00635997">
        <w:rPr>
          <w:rFonts w:ascii="Times New Roman" w:hAnsi="Times New Roman" w:cs="Times New Roman"/>
          <w:b/>
          <w:sz w:val="24"/>
          <w:szCs w:val="24"/>
        </w:rPr>
        <w:t>Патриотическое</w:t>
      </w:r>
      <w:proofErr w:type="gramEnd"/>
    </w:p>
    <w:p w:rsidR="00635997" w:rsidRPr="00635997" w:rsidRDefault="00635997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997">
        <w:rPr>
          <w:rFonts w:ascii="Times New Roman" w:hAnsi="Times New Roman" w:cs="Times New Roman"/>
          <w:b/>
          <w:sz w:val="24"/>
          <w:szCs w:val="24"/>
        </w:rPr>
        <w:t>воспитание граждан, проживающих в Республике Тыва"</w:t>
      </w:r>
    </w:p>
    <w:p w:rsidR="00635997" w:rsidRPr="00635997" w:rsidRDefault="00635997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997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635997" w:rsidRPr="00635997" w:rsidRDefault="00635997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635997" w:rsidRPr="0063599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Республики Тыва </w:t>
            </w:r>
            <w:proofErr w:type="spellStart"/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</w:tr>
      <w:tr w:rsidR="00635997" w:rsidRPr="0063599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635997" w:rsidRPr="0063599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Соисполнитель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Тыва, Министерство спорта Республики Тыва, Министерство по делам молодежи Республики Тыва, Региональный ресурсный центр по реализации федерального проекта "Навигаторы детства", Региональное отделение Общероссийского общественно-государственного движения детей и молодежи "Движение первых" Республики Тыва, Национальный музей им. Алдан-</w:t>
            </w:r>
            <w:proofErr w:type="spellStart"/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Тыва, Военный комиссариат Республики Тыва (по согласованию), региональное отделение ДОСААФ России по Республике Тыва (по согласованию), 55 отдельная гвардейская мотострелковая</w:t>
            </w:r>
            <w:proofErr w:type="gramEnd"/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 бригада (горная) (по согласованию), органы местного самоуправления Республики Тыва (по согласованию)</w:t>
            </w:r>
          </w:p>
        </w:tc>
      </w:tr>
      <w:tr w:rsidR="00635997" w:rsidRPr="0063599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">
              <w:r w:rsidRPr="0063599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21.05.2024 N 243)</w:t>
            </w:r>
          </w:p>
        </w:tc>
      </w:tr>
      <w:tr w:rsidR="00635997" w:rsidRPr="0063599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один этап: 2024 - 2030 гг.</w:t>
            </w:r>
          </w:p>
        </w:tc>
      </w:tr>
      <w:tr w:rsidR="00635997" w:rsidRPr="0063599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патриотического воспитания детей и молодежи Республики Тыва через создание условий для укрепления чувства сопричастности к великой истории и культуре России;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мировоззрения молодежи, основанного на ценностях патриотизма, здорового образа жизни и воспитание гражданина, имеющего активную жизненную позицию;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подрастающего поколения на основе духовно-нравственных ценностей народов Российской Федерации, исторических и национально-культурных традиций с учетов территориального расположения региона;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укрепление престижа службы в Вооруженных Силах Российской Федерации</w:t>
            </w:r>
          </w:p>
        </w:tc>
      </w:tr>
      <w:tr w:rsidR="00635997" w:rsidRPr="0063599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6">
              <w:r w:rsidRPr="0063599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21.05.2024 N 243)</w:t>
            </w:r>
          </w:p>
        </w:tc>
      </w:tr>
      <w:tr w:rsidR="00635997" w:rsidRPr="0063599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63599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 "Методическое сопровождение системы патриотического воспитания граждан";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63599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 "Совершенствование форм и методов работы по патриотическому воспитанию граждан";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63599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военно-патриотического воспитания граждан, укрепление престижа службы в Вооруженных Силах Российской Федерации, </w:t>
            </w:r>
            <w:r w:rsidRPr="0063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практики шефства";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63599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4</w:t>
              </w:r>
            </w:hyperlink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 "Информационное обеспечение патриотического воспитания граждан"</w:t>
            </w:r>
          </w:p>
        </w:tc>
      </w:tr>
      <w:tr w:rsidR="00635997" w:rsidRPr="0063599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мероприятий Программы за счет средств республиканского бюджета Республики Тыва составит 56699,6 тыс. рублей, в том числе по годам: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 2024 г. - 4414,0 тыс. рублей, в том числе: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федеральный бюджет - 0 руб.;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- 4414,0 тыс. рублей;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- 0 руб.;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 2025 г. - 866,9 тыс. рублей, в том числе: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федеральный бюджет - 0 руб.;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- 866,9 тыс. рублей;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- 0 руб.;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 2026 г. - 818,7 тыс. рублей, в том числе: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федеральный бюджет - 0 руб.;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- 818,7 тыс. рублей;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- 0 руб.;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 2027 г. - 12500,0 тыс. рублей, в том числе: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федеральный бюджет - 0 руб.;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- 12500,0 тыс. рублей;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- 0 руб.;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 2028 г. - 12500,0 тыс. рублей, в том числе: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федеральный бюджет - 0 руб.;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- 12500,0 тыс. рублей;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- 0 руб.;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 2029 г. - 12500,0 тыс. рублей, в том числе: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федеральный бюджет - 0 руб.;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- 12500,0 тыс. рублей;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- 0 руб.;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 2030 г. - 13100,0 тыс. рублей, в том числе: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федеральный бюджет - 0 руб.;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- 13100,0 тыс. рублей;</w:t>
            </w:r>
          </w:p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- 0 руб.</w:t>
            </w:r>
          </w:p>
        </w:tc>
      </w:tr>
      <w:tr w:rsidR="00635997" w:rsidRPr="0063599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11">
              <w:r w:rsidRPr="0063599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63599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21.05.2024 N 243)</w:t>
            </w:r>
          </w:p>
        </w:tc>
      </w:tr>
      <w:tr w:rsidR="00635997" w:rsidRPr="0063599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5997" w:rsidRPr="00635997" w:rsidRDefault="006359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      </w:r>
          </w:p>
        </w:tc>
      </w:tr>
    </w:tbl>
    <w:p w:rsidR="0019074A" w:rsidRDefault="0019074A">
      <w:bookmarkStart w:id="0" w:name="_GoBack"/>
      <w:bookmarkEnd w:id="0"/>
    </w:p>
    <w:sectPr w:rsidR="0019074A" w:rsidSect="00BF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20"/>
    <w:rsid w:val="0019074A"/>
    <w:rsid w:val="00635997"/>
    <w:rsid w:val="009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482&amp;dst=1009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2482&amp;dst=10095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456&amp;dst=100008" TargetMode="External"/><Relationship Id="rId11" Type="http://schemas.openxmlformats.org/officeDocument/2006/relationships/hyperlink" Target="https://login.consultant.ru/link/?req=doc&amp;base=RLAW434&amp;n=42456&amp;dst=100012" TargetMode="External"/><Relationship Id="rId5" Type="http://schemas.openxmlformats.org/officeDocument/2006/relationships/hyperlink" Target="https://login.consultant.ru/link/?req=doc&amp;base=RLAW434&amp;n=42456&amp;dst=100007" TargetMode="External"/><Relationship Id="rId10" Type="http://schemas.openxmlformats.org/officeDocument/2006/relationships/hyperlink" Target="https://login.consultant.ru/link/?req=doc&amp;base=RLAW434&amp;n=42482&amp;dst=1009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482&amp;dst=100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2024-09-13T07:35:00Z</dcterms:created>
  <dcterms:modified xsi:type="dcterms:W3CDTF">2024-09-13T07:36:00Z</dcterms:modified>
</cp:coreProperties>
</file>