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76" w:rsidRPr="00DA6676" w:rsidRDefault="00DA6676">
      <w:pPr>
        <w:spacing w:after="1" w:line="220" w:lineRule="auto"/>
        <w:jc w:val="center"/>
        <w:outlineLvl w:val="0"/>
        <w:rPr>
          <w:rFonts w:ascii="Times New Roman" w:hAnsi="Times New Roman" w:cs="Times New Roman"/>
          <w:sz w:val="24"/>
          <w:szCs w:val="24"/>
        </w:rPr>
      </w:pPr>
      <w:r w:rsidRPr="00DA6676">
        <w:rPr>
          <w:rFonts w:ascii="Times New Roman" w:hAnsi="Times New Roman" w:cs="Times New Roman"/>
          <w:b/>
          <w:sz w:val="24"/>
          <w:szCs w:val="24"/>
        </w:rPr>
        <w:t>ПАСПОРТ</w:t>
      </w:r>
    </w:p>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b/>
          <w:sz w:val="24"/>
          <w:szCs w:val="24"/>
        </w:rPr>
        <w:t>государственной программы Республики Тыва</w:t>
      </w:r>
    </w:p>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b/>
          <w:sz w:val="24"/>
          <w:szCs w:val="24"/>
        </w:rPr>
        <w:t xml:space="preserve">"Реализация </w:t>
      </w:r>
      <w:proofErr w:type="gramStart"/>
      <w:r w:rsidRPr="00DA6676">
        <w:rPr>
          <w:rFonts w:ascii="Times New Roman" w:hAnsi="Times New Roman" w:cs="Times New Roman"/>
          <w:b/>
          <w:sz w:val="24"/>
          <w:szCs w:val="24"/>
        </w:rPr>
        <w:t>государственной</w:t>
      </w:r>
      <w:proofErr w:type="gramEnd"/>
      <w:r w:rsidRPr="00DA6676">
        <w:rPr>
          <w:rFonts w:ascii="Times New Roman" w:hAnsi="Times New Roman" w:cs="Times New Roman"/>
          <w:b/>
          <w:sz w:val="24"/>
          <w:szCs w:val="24"/>
        </w:rPr>
        <w:t xml:space="preserve"> национальной</w:t>
      </w:r>
    </w:p>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b/>
          <w:sz w:val="24"/>
          <w:szCs w:val="24"/>
        </w:rPr>
        <w:t xml:space="preserve">политики Российской Федерации </w:t>
      </w:r>
      <w:proofErr w:type="gramStart"/>
      <w:r w:rsidRPr="00DA6676">
        <w:rPr>
          <w:rFonts w:ascii="Times New Roman" w:hAnsi="Times New Roman" w:cs="Times New Roman"/>
          <w:b/>
          <w:sz w:val="24"/>
          <w:szCs w:val="24"/>
        </w:rPr>
        <w:t>в</w:t>
      </w:r>
      <w:proofErr w:type="gramEnd"/>
    </w:p>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b/>
          <w:sz w:val="24"/>
          <w:szCs w:val="24"/>
        </w:rPr>
        <w:t>Республике Тыва" (далее - Программа)</w:t>
      </w:r>
    </w:p>
    <w:p w:rsidR="00DA6676" w:rsidRPr="00DA6676" w:rsidRDefault="00DA6676">
      <w:pPr>
        <w:spacing w:after="1" w:line="220" w:lineRule="auto"/>
        <w:jc w:val="both"/>
        <w:rPr>
          <w:rFonts w:ascii="Times New Roman" w:hAnsi="Times New Roman" w:cs="Times New Roman"/>
          <w:sz w:val="24"/>
          <w:szCs w:val="24"/>
        </w:rPr>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551"/>
        <w:gridCol w:w="340"/>
        <w:gridCol w:w="1191"/>
        <w:gridCol w:w="1077"/>
        <w:gridCol w:w="1191"/>
        <w:gridCol w:w="1134"/>
        <w:gridCol w:w="1134"/>
        <w:gridCol w:w="1134"/>
        <w:gridCol w:w="1134"/>
        <w:gridCol w:w="1077"/>
        <w:gridCol w:w="1077"/>
      </w:tblGrid>
      <w:tr w:rsidR="00DA6676" w:rsidRPr="00DA6676">
        <w:tc>
          <w:tcPr>
            <w:tcW w:w="2551" w:type="dxa"/>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Куратор государственной программы Республики Тыва</w:t>
            </w:r>
          </w:p>
        </w:tc>
        <w:tc>
          <w:tcPr>
            <w:tcW w:w="340" w:type="dxa"/>
            <w:tcBorders>
              <w:top w:val="nil"/>
              <w:bottom w:val="nil"/>
            </w:tcBorders>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w:t>
            </w:r>
          </w:p>
        </w:tc>
        <w:tc>
          <w:tcPr>
            <w:tcW w:w="10149" w:type="dxa"/>
            <w:gridSpan w:val="9"/>
            <w:tcBorders>
              <w:top w:val="nil"/>
              <w:bottom w:val="nil"/>
            </w:tcBorders>
          </w:tcPr>
          <w:p w:rsidR="00DA6676" w:rsidRPr="00DA6676" w:rsidRDefault="00DA6676">
            <w:pPr>
              <w:spacing w:after="1" w:line="220" w:lineRule="auto"/>
              <w:rPr>
                <w:rFonts w:ascii="Times New Roman" w:hAnsi="Times New Roman" w:cs="Times New Roman"/>
                <w:sz w:val="24"/>
                <w:szCs w:val="24"/>
              </w:rPr>
            </w:pPr>
            <w:proofErr w:type="spellStart"/>
            <w:r w:rsidRPr="00DA6676">
              <w:rPr>
                <w:rFonts w:ascii="Times New Roman" w:hAnsi="Times New Roman" w:cs="Times New Roman"/>
                <w:sz w:val="24"/>
                <w:szCs w:val="24"/>
              </w:rPr>
              <w:t>и.о</w:t>
            </w:r>
            <w:proofErr w:type="spellEnd"/>
            <w:r w:rsidRPr="00DA6676">
              <w:rPr>
                <w:rFonts w:ascii="Times New Roman" w:hAnsi="Times New Roman" w:cs="Times New Roman"/>
                <w:sz w:val="24"/>
                <w:szCs w:val="24"/>
              </w:rPr>
              <w:t xml:space="preserve">. заместителя Председателя Правительства Республики Тыва </w:t>
            </w:r>
            <w:proofErr w:type="spellStart"/>
            <w:r w:rsidRPr="00DA6676">
              <w:rPr>
                <w:rFonts w:ascii="Times New Roman" w:hAnsi="Times New Roman" w:cs="Times New Roman"/>
                <w:sz w:val="24"/>
                <w:szCs w:val="24"/>
              </w:rPr>
              <w:t>Чюдюк</w:t>
            </w:r>
            <w:proofErr w:type="spellEnd"/>
            <w:r w:rsidRPr="00DA6676">
              <w:rPr>
                <w:rFonts w:ascii="Times New Roman" w:hAnsi="Times New Roman" w:cs="Times New Roman"/>
                <w:sz w:val="24"/>
                <w:szCs w:val="24"/>
              </w:rPr>
              <w:t xml:space="preserve"> А.А.</w:t>
            </w:r>
          </w:p>
        </w:tc>
      </w:tr>
      <w:tr w:rsidR="00DA6676" w:rsidRPr="00DA6676">
        <w:tc>
          <w:tcPr>
            <w:tcW w:w="2551" w:type="dxa"/>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Ответственный исполнитель Программы</w:t>
            </w:r>
          </w:p>
        </w:tc>
        <w:tc>
          <w:tcPr>
            <w:tcW w:w="340" w:type="dxa"/>
            <w:tcBorders>
              <w:top w:val="nil"/>
              <w:bottom w:val="nil"/>
            </w:tcBorders>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w:t>
            </w:r>
          </w:p>
        </w:tc>
        <w:tc>
          <w:tcPr>
            <w:tcW w:w="10149" w:type="dxa"/>
            <w:gridSpan w:val="9"/>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Агентство по делам национальностей Республики Тыва</w:t>
            </w:r>
          </w:p>
        </w:tc>
      </w:tr>
      <w:tr w:rsidR="00DA6676" w:rsidRPr="00DA6676">
        <w:tc>
          <w:tcPr>
            <w:tcW w:w="2551" w:type="dxa"/>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Соисполнители Программы</w:t>
            </w:r>
          </w:p>
        </w:tc>
        <w:tc>
          <w:tcPr>
            <w:tcW w:w="340" w:type="dxa"/>
            <w:tcBorders>
              <w:top w:val="nil"/>
              <w:bottom w:val="nil"/>
            </w:tcBorders>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w:t>
            </w:r>
          </w:p>
        </w:tc>
        <w:tc>
          <w:tcPr>
            <w:tcW w:w="10149" w:type="dxa"/>
            <w:gridSpan w:val="9"/>
            <w:tcBorders>
              <w:top w:val="nil"/>
              <w:bottom w:val="nil"/>
            </w:tcBorders>
          </w:tcPr>
          <w:p w:rsidR="00DA6676" w:rsidRPr="00DA6676" w:rsidRDefault="00DA6676">
            <w:pPr>
              <w:spacing w:after="1" w:line="220" w:lineRule="auto"/>
              <w:rPr>
                <w:rFonts w:ascii="Times New Roman" w:hAnsi="Times New Roman" w:cs="Times New Roman"/>
                <w:sz w:val="24"/>
                <w:szCs w:val="24"/>
              </w:rPr>
            </w:pPr>
            <w:proofErr w:type="gramStart"/>
            <w:r w:rsidRPr="00DA6676">
              <w:rPr>
                <w:rFonts w:ascii="Times New Roman" w:hAnsi="Times New Roman" w:cs="Times New Roman"/>
                <w:sz w:val="24"/>
                <w:szCs w:val="24"/>
              </w:rPr>
              <w:t xml:space="preserve">ГАУ "Центр русской культуры им И.Г. </w:t>
            </w:r>
            <w:proofErr w:type="spellStart"/>
            <w:r w:rsidRPr="00DA6676">
              <w:rPr>
                <w:rFonts w:ascii="Times New Roman" w:hAnsi="Times New Roman" w:cs="Times New Roman"/>
                <w:sz w:val="24"/>
                <w:szCs w:val="24"/>
              </w:rPr>
              <w:t>Сафьянова</w:t>
            </w:r>
            <w:proofErr w:type="spellEnd"/>
            <w:r w:rsidRPr="00DA6676">
              <w:rPr>
                <w:rFonts w:ascii="Times New Roman" w:hAnsi="Times New Roman" w:cs="Times New Roman"/>
                <w:sz w:val="24"/>
                <w:szCs w:val="24"/>
              </w:rPr>
              <w:t>" Республики Тыва, Министерство культуры Республики Тыва, Министерство образования Республики Тыва, Министерство цифрового развития Республики Тыва, Агентство по делам молодежи Республики Тыва, Агентство по науке Республики Тыва, Министерство здравоохранения Республики Тыва, Министерство труда и социальной политики Республики Тыва, Департамент по внутренней политике Администрации Главы Республики Тыва и Аппарата Правительства Республики Тыва, органы местного</w:t>
            </w:r>
            <w:proofErr w:type="gramEnd"/>
            <w:r w:rsidRPr="00DA6676">
              <w:rPr>
                <w:rFonts w:ascii="Times New Roman" w:hAnsi="Times New Roman" w:cs="Times New Roman"/>
                <w:sz w:val="24"/>
                <w:szCs w:val="24"/>
              </w:rPr>
              <w:t xml:space="preserve"> </w:t>
            </w:r>
            <w:proofErr w:type="gramStart"/>
            <w:r w:rsidRPr="00DA6676">
              <w:rPr>
                <w:rFonts w:ascii="Times New Roman" w:hAnsi="Times New Roman" w:cs="Times New Roman"/>
                <w:sz w:val="24"/>
                <w:szCs w:val="24"/>
              </w:rPr>
              <w:t xml:space="preserve">самоуправления Республики Тыва, Региональная общественная организация "Ассамблея народов Республики Тыва", Управление </w:t>
            </w:r>
            <w:proofErr w:type="spellStart"/>
            <w:r w:rsidRPr="00DA6676">
              <w:rPr>
                <w:rFonts w:ascii="Times New Roman" w:hAnsi="Times New Roman" w:cs="Times New Roman"/>
                <w:sz w:val="24"/>
                <w:szCs w:val="24"/>
              </w:rPr>
              <w:t>Камбы</w:t>
            </w:r>
            <w:proofErr w:type="spellEnd"/>
            <w:r w:rsidRPr="00DA6676">
              <w:rPr>
                <w:rFonts w:ascii="Times New Roman" w:hAnsi="Times New Roman" w:cs="Times New Roman"/>
                <w:sz w:val="24"/>
                <w:szCs w:val="24"/>
              </w:rPr>
              <w:t xml:space="preserve">-Ламы Республики Тыва, Централизованная религиозная шаманская организация Тувы "Управление Верховного шамана", </w:t>
            </w:r>
            <w:proofErr w:type="spellStart"/>
            <w:r w:rsidRPr="00DA6676">
              <w:rPr>
                <w:rFonts w:ascii="Times New Roman" w:hAnsi="Times New Roman" w:cs="Times New Roman"/>
                <w:sz w:val="24"/>
                <w:szCs w:val="24"/>
              </w:rPr>
              <w:t>Кызылская</w:t>
            </w:r>
            <w:proofErr w:type="spellEnd"/>
            <w:r w:rsidRPr="00DA6676">
              <w:rPr>
                <w:rFonts w:ascii="Times New Roman" w:hAnsi="Times New Roman" w:cs="Times New Roman"/>
                <w:sz w:val="24"/>
                <w:szCs w:val="24"/>
              </w:rPr>
              <w:t xml:space="preserve"> епархия Русской Православной Церкви, Ассоциация общин коренного малочисленного народа Сибири - тувинцев-</w:t>
            </w:r>
            <w:proofErr w:type="spellStart"/>
            <w:r w:rsidRPr="00DA6676">
              <w:rPr>
                <w:rFonts w:ascii="Times New Roman" w:hAnsi="Times New Roman" w:cs="Times New Roman"/>
                <w:sz w:val="24"/>
                <w:szCs w:val="24"/>
              </w:rPr>
              <w:t>тоджинцев</w:t>
            </w:r>
            <w:proofErr w:type="spellEnd"/>
            <w:r w:rsidRPr="00DA6676">
              <w:rPr>
                <w:rFonts w:ascii="Times New Roman" w:hAnsi="Times New Roman" w:cs="Times New Roman"/>
                <w:sz w:val="24"/>
                <w:szCs w:val="24"/>
              </w:rPr>
              <w:t xml:space="preserve"> - "</w:t>
            </w:r>
            <w:proofErr w:type="spellStart"/>
            <w:r w:rsidRPr="00DA6676">
              <w:rPr>
                <w:rFonts w:ascii="Times New Roman" w:hAnsi="Times New Roman" w:cs="Times New Roman"/>
                <w:sz w:val="24"/>
                <w:szCs w:val="24"/>
              </w:rPr>
              <w:t>Тос</w:t>
            </w:r>
            <w:proofErr w:type="spellEnd"/>
            <w:r w:rsidRPr="00DA6676">
              <w:rPr>
                <w:rFonts w:ascii="Times New Roman" w:hAnsi="Times New Roman" w:cs="Times New Roman"/>
                <w:sz w:val="24"/>
                <w:szCs w:val="24"/>
              </w:rPr>
              <w:t xml:space="preserve"> </w:t>
            </w:r>
            <w:proofErr w:type="spellStart"/>
            <w:r w:rsidRPr="00DA6676">
              <w:rPr>
                <w:rFonts w:ascii="Times New Roman" w:hAnsi="Times New Roman" w:cs="Times New Roman"/>
                <w:sz w:val="24"/>
                <w:szCs w:val="24"/>
              </w:rPr>
              <w:t>чадыр</w:t>
            </w:r>
            <w:proofErr w:type="spellEnd"/>
            <w:r w:rsidRPr="00DA6676">
              <w:rPr>
                <w:rFonts w:ascii="Times New Roman" w:hAnsi="Times New Roman" w:cs="Times New Roman"/>
                <w:sz w:val="24"/>
                <w:szCs w:val="24"/>
              </w:rPr>
              <w:t>" (Берестяной чум), Ассоциация коренного малочисленного народа Сибири - тувинцев-</w:t>
            </w:r>
            <w:proofErr w:type="spellStart"/>
            <w:r w:rsidRPr="00DA6676">
              <w:rPr>
                <w:rFonts w:ascii="Times New Roman" w:hAnsi="Times New Roman" w:cs="Times New Roman"/>
                <w:sz w:val="24"/>
                <w:szCs w:val="24"/>
              </w:rPr>
              <w:t>тоджинцев</w:t>
            </w:r>
            <w:proofErr w:type="spellEnd"/>
            <w:r w:rsidRPr="00DA6676">
              <w:rPr>
                <w:rFonts w:ascii="Times New Roman" w:hAnsi="Times New Roman" w:cs="Times New Roman"/>
                <w:sz w:val="24"/>
                <w:szCs w:val="24"/>
              </w:rPr>
              <w:t xml:space="preserve"> - в Республике Тыва "</w:t>
            </w:r>
            <w:proofErr w:type="spellStart"/>
            <w:r w:rsidRPr="00DA6676">
              <w:rPr>
                <w:rFonts w:ascii="Times New Roman" w:hAnsi="Times New Roman" w:cs="Times New Roman"/>
                <w:sz w:val="24"/>
                <w:szCs w:val="24"/>
              </w:rPr>
              <w:t>Тос</w:t>
            </w:r>
            <w:proofErr w:type="spellEnd"/>
            <w:r w:rsidRPr="00DA6676">
              <w:rPr>
                <w:rFonts w:ascii="Times New Roman" w:hAnsi="Times New Roman" w:cs="Times New Roman"/>
                <w:sz w:val="24"/>
                <w:szCs w:val="24"/>
              </w:rPr>
              <w:t xml:space="preserve"> бору", общины коренных малочисленных народов Республики Тыва, МВД по Республике Тыва, </w:t>
            </w:r>
            <w:proofErr w:type="spellStart"/>
            <w:r w:rsidRPr="00DA6676">
              <w:rPr>
                <w:rFonts w:ascii="Times New Roman" w:hAnsi="Times New Roman" w:cs="Times New Roman"/>
                <w:sz w:val="24"/>
                <w:szCs w:val="24"/>
              </w:rPr>
              <w:t>ГБНИиОУ</w:t>
            </w:r>
            <w:proofErr w:type="spellEnd"/>
            <w:proofErr w:type="gramEnd"/>
            <w:r w:rsidRPr="00DA6676">
              <w:rPr>
                <w:rFonts w:ascii="Times New Roman" w:hAnsi="Times New Roman" w:cs="Times New Roman"/>
                <w:sz w:val="24"/>
                <w:szCs w:val="24"/>
              </w:rPr>
              <w:t xml:space="preserve"> "Тувинский институт гуманитарных и прикладных социально-экономических исследований при Правительстве Республики Тыва", </w:t>
            </w:r>
            <w:proofErr w:type="spellStart"/>
            <w:r w:rsidRPr="00DA6676">
              <w:rPr>
                <w:rFonts w:ascii="Times New Roman" w:hAnsi="Times New Roman" w:cs="Times New Roman"/>
                <w:sz w:val="24"/>
                <w:szCs w:val="24"/>
              </w:rPr>
              <w:t>Верхнеенисейское</w:t>
            </w:r>
            <w:proofErr w:type="spellEnd"/>
            <w:r w:rsidRPr="00DA6676">
              <w:rPr>
                <w:rFonts w:ascii="Times New Roman" w:hAnsi="Times New Roman" w:cs="Times New Roman"/>
                <w:sz w:val="24"/>
                <w:szCs w:val="24"/>
              </w:rPr>
              <w:t xml:space="preserve"> окружное казачье общество</w:t>
            </w:r>
          </w:p>
        </w:tc>
      </w:tr>
      <w:tr w:rsidR="00DA6676" w:rsidRPr="00DA6676">
        <w:tc>
          <w:tcPr>
            <w:tcW w:w="2551" w:type="dxa"/>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Период реализации Программы</w:t>
            </w:r>
          </w:p>
        </w:tc>
        <w:tc>
          <w:tcPr>
            <w:tcW w:w="340" w:type="dxa"/>
            <w:tcBorders>
              <w:top w:val="nil"/>
              <w:bottom w:val="nil"/>
            </w:tcBorders>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w:t>
            </w:r>
          </w:p>
        </w:tc>
        <w:tc>
          <w:tcPr>
            <w:tcW w:w="10149" w:type="dxa"/>
            <w:gridSpan w:val="9"/>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2024 - 2030 гг.</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Этапы реализации Программы не выделяются</w:t>
            </w:r>
          </w:p>
        </w:tc>
      </w:tr>
      <w:tr w:rsidR="00DA6676" w:rsidRPr="00DA6676">
        <w:tc>
          <w:tcPr>
            <w:tcW w:w="2551" w:type="dxa"/>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Цели Программы</w:t>
            </w:r>
          </w:p>
        </w:tc>
        <w:tc>
          <w:tcPr>
            <w:tcW w:w="340" w:type="dxa"/>
            <w:tcBorders>
              <w:top w:val="nil"/>
              <w:bottom w:val="nil"/>
            </w:tcBorders>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w:t>
            </w:r>
          </w:p>
        </w:tc>
        <w:tc>
          <w:tcPr>
            <w:tcW w:w="10149" w:type="dxa"/>
            <w:gridSpan w:val="9"/>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1) обеспечение межнационального и межрелигиозного мира и согласия, гармонизация межнациональных (межэтнических) отношений;</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lastRenderedPageBreak/>
              <w:t>2) 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 xml:space="preserve">3) успешная социальная и культурная </w:t>
            </w:r>
            <w:proofErr w:type="gramStart"/>
            <w:r w:rsidRPr="00DA6676">
              <w:rPr>
                <w:rFonts w:ascii="Times New Roman" w:hAnsi="Times New Roman" w:cs="Times New Roman"/>
                <w:sz w:val="24"/>
                <w:szCs w:val="24"/>
              </w:rPr>
              <w:t>адаптация</w:t>
            </w:r>
            <w:proofErr w:type="gramEnd"/>
            <w:r w:rsidRPr="00DA6676">
              <w:rPr>
                <w:rFonts w:ascii="Times New Roman" w:hAnsi="Times New Roman" w:cs="Times New Roman"/>
                <w:sz w:val="24"/>
                <w:szCs w:val="24"/>
              </w:rPr>
              <w:t xml:space="preserve"> и интеграция мигрантов;</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4) сохранение и развитие этнокультурного многообразия народов;</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5)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6) развитие российского казачества на территории Республики Тыва;</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7) поддержка коренных малочисленных народов Севера, Сибири и Дальнего Востока Российской Федерации, проживающих на территории Республики Тыва;</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8) развитие некоммерческого сектора в Республике Тыва</w:t>
            </w:r>
          </w:p>
        </w:tc>
      </w:tr>
      <w:tr w:rsidR="00DA6676" w:rsidRPr="00DA6676">
        <w:tc>
          <w:tcPr>
            <w:tcW w:w="2551" w:type="dxa"/>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lastRenderedPageBreak/>
              <w:t>Направления (подпрограммы) Программы</w:t>
            </w:r>
          </w:p>
        </w:tc>
        <w:tc>
          <w:tcPr>
            <w:tcW w:w="340" w:type="dxa"/>
            <w:tcBorders>
              <w:top w:val="nil"/>
              <w:bottom w:val="nil"/>
            </w:tcBorders>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w:t>
            </w:r>
          </w:p>
        </w:tc>
        <w:tc>
          <w:tcPr>
            <w:tcW w:w="10149" w:type="dxa"/>
            <w:gridSpan w:val="9"/>
            <w:tcBorders>
              <w:top w:val="nil"/>
              <w:bottom w:val="nil"/>
            </w:tcBorders>
          </w:tcPr>
          <w:p w:rsidR="00DA6676" w:rsidRPr="00DA6676" w:rsidRDefault="00DA6676">
            <w:pPr>
              <w:spacing w:after="1" w:line="220" w:lineRule="auto"/>
              <w:rPr>
                <w:rFonts w:ascii="Times New Roman" w:hAnsi="Times New Roman" w:cs="Times New Roman"/>
                <w:sz w:val="24"/>
                <w:szCs w:val="24"/>
              </w:rPr>
            </w:pPr>
            <w:hyperlink r:id="rId5">
              <w:r w:rsidRPr="00DA6676">
                <w:rPr>
                  <w:rFonts w:ascii="Times New Roman" w:hAnsi="Times New Roman" w:cs="Times New Roman"/>
                  <w:color w:val="0000FF"/>
                  <w:sz w:val="24"/>
                  <w:szCs w:val="24"/>
                </w:rPr>
                <w:t>направление (подпрограмма) 1</w:t>
              </w:r>
            </w:hyperlink>
            <w:r w:rsidRPr="00DA6676">
              <w:rPr>
                <w:rFonts w:ascii="Times New Roman" w:hAnsi="Times New Roman" w:cs="Times New Roman"/>
                <w:sz w:val="24"/>
                <w:szCs w:val="24"/>
              </w:rPr>
              <w:t xml:space="preserve"> "Общероссийская гражданская идентичность";</w:t>
            </w:r>
          </w:p>
          <w:p w:rsidR="00DA6676" w:rsidRPr="00DA6676" w:rsidRDefault="00DA6676">
            <w:pPr>
              <w:spacing w:after="1" w:line="220" w:lineRule="auto"/>
              <w:rPr>
                <w:rFonts w:ascii="Times New Roman" w:hAnsi="Times New Roman" w:cs="Times New Roman"/>
                <w:sz w:val="24"/>
                <w:szCs w:val="24"/>
              </w:rPr>
            </w:pPr>
            <w:hyperlink r:id="rId6">
              <w:r w:rsidRPr="00DA6676">
                <w:rPr>
                  <w:rFonts w:ascii="Times New Roman" w:hAnsi="Times New Roman" w:cs="Times New Roman"/>
                  <w:color w:val="0000FF"/>
                  <w:sz w:val="24"/>
                  <w:szCs w:val="24"/>
                </w:rPr>
                <w:t>направление (подпрограмма) 2</w:t>
              </w:r>
            </w:hyperlink>
            <w:r w:rsidRPr="00DA6676">
              <w:rPr>
                <w:rFonts w:ascii="Times New Roman" w:hAnsi="Times New Roman" w:cs="Times New Roman"/>
                <w:sz w:val="24"/>
                <w:szCs w:val="24"/>
              </w:rPr>
              <w:t xml:space="preserve"> "Межнациональный и межрелигиозный мир и согласие";</w:t>
            </w:r>
          </w:p>
          <w:p w:rsidR="00DA6676" w:rsidRPr="00DA6676" w:rsidRDefault="00DA6676">
            <w:pPr>
              <w:spacing w:after="1" w:line="220" w:lineRule="auto"/>
              <w:rPr>
                <w:rFonts w:ascii="Times New Roman" w:hAnsi="Times New Roman" w:cs="Times New Roman"/>
                <w:sz w:val="24"/>
                <w:szCs w:val="24"/>
              </w:rPr>
            </w:pPr>
            <w:hyperlink r:id="rId7">
              <w:r w:rsidRPr="00DA6676">
                <w:rPr>
                  <w:rFonts w:ascii="Times New Roman" w:hAnsi="Times New Roman" w:cs="Times New Roman"/>
                  <w:color w:val="0000FF"/>
                  <w:sz w:val="24"/>
                  <w:szCs w:val="24"/>
                </w:rPr>
                <w:t>направление (подпрограмма) 3</w:t>
              </w:r>
            </w:hyperlink>
            <w:r w:rsidRPr="00DA6676">
              <w:rPr>
                <w:rFonts w:ascii="Times New Roman" w:hAnsi="Times New Roman" w:cs="Times New Roman"/>
                <w:sz w:val="24"/>
                <w:szCs w:val="24"/>
              </w:rPr>
              <w:t xml:space="preserve"> "Этнокультурное и духовное развитие народов";</w:t>
            </w:r>
          </w:p>
          <w:p w:rsidR="00DA6676" w:rsidRPr="00DA6676" w:rsidRDefault="00DA6676">
            <w:pPr>
              <w:spacing w:after="1" w:line="220" w:lineRule="auto"/>
              <w:rPr>
                <w:rFonts w:ascii="Times New Roman" w:hAnsi="Times New Roman" w:cs="Times New Roman"/>
                <w:sz w:val="24"/>
                <w:szCs w:val="24"/>
              </w:rPr>
            </w:pPr>
            <w:hyperlink r:id="rId8">
              <w:r w:rsidRPr="00DA6676">
                <w:rPr>
                  <w:rFonts w:ascii="Times New Roman" w:hAnsi="Times New Roman" w:cs="Times New Roman"/>
                  <w:color w:val="0000FF"/>
                  <w:sz w:val="24"/>
                  <w:szCs w:val="24"/>
                </w:rPr>
                <w:t>направление (подпрограмма) 4</w:t>
              </w:r>
            </w:hyperlink>
            <w:r w:rsidRPr="00DA6676">
              <w:rPr>
                <w:rFonts w:ascii="Times New Roman" w:hAnsi="Times New Roman" w:cs="Times New Roman"/>
                <w:sz w:val="24"/>
                <w:szCs w:val="24"/>
              </w:rPr>
              <w:t xml:space="preserve"> "Казачество";</w:t>
            </w:r>
          </w:p>
          <w:p w:rsidR="00DA6676" w:rsidRPr="00DA6676" w:rsidRDefault="00DA6676">
            <w:pPr>
              <w:spacing w:after="1" w:line="220" w:lineRule="auto"/>
              <w:rPr>
                <w:rFonts w:ascii="Times New Roman" w:hAnsi="Times New Roman" w:cs="Times New Roman"/>
                <w:sz w:val="24"/>
                <w:szCs w:val="24"/>
              </w:rPr>
            </w:pPr>
            <w:hyperlink r:id="rId9">
              <w:r w:rsidRPr="00DA6676">
                <w:rPr>
                  <w:rFonts w:ascii="Times New Roman" w:hAnsi="Times New Roman" w:cs="Times New Roman"/>
                  <w:color w:val="0000FF"/>
                  <w:sz w:val="24"/>
                  <w:szCs w:val="24"/>
                </w:rPr>
                <w:t>направление (подпрограмма) 5</w:t>
              </w:r>
            </w:hyperlink>
            <w:r w:rsidRPr="00DA6676">
              <w:rPr>
                <w:rFonts w:ascii="Times New Roman" w:hAnsi="Times New Roman" w:cs="Times New Roman"/>
                <w:sz w:val="24"/>
                <w:szCs w:val="24"/>
              </w:rPr>
              <w:t xml:space="preserve"> "Коренные малочисленные народы Российской Федерации";</w:t>
            </w:r>
          </w:p>
          <w:p w:rsidR="00DA6676" w:rsidRPr="00DA6676" w:rsidRDefault="00DA6676">
            <w:pPr>
              <w:spacing w:after="1" w:line="220" w:lineRule="auto"/>
              <w:rPr>
                <w:rFonts w:ascii="Times New Roman" w:hAnsi="Times New Roman" w:cs="Times New Roman"/>
                <w:sz w:val="24"/>
                <w:szCs w:val="24"/>
              </w:rPr>
            </w:pPr>
            <w:hyperlink r:id="rId10">
              <w:r w:rsidRPr="00DA6676">
                <w:rPr>
                  <w:rFonts w:ascii="Times New Roman" w:hAnsi="Times New Roman" w:cs="Times New Roman"/>
                  <w:color w:val="0000FF"/>
                  <w:sz w:val="24"/>
                  <w:szCs w:val="24"/>
                </w:rPr>
                <w:t>направление (подпрограмма) 6</w:t>
              </w:r>
            </w:hyperlink>
            <w:r w:rsidRPr="00DA6676">
              <w:rPr>
                <w:rFonts w:ascii="Times New Roman" w:hAnsi="Times New Roman" w:cs="Times New Roman"/>
                <w:sz w:val="24"/>
                <w:szCs w:val="24"/>
              </w:rPr>
              <w:t xml:space="preserve"> "Социально-культурная адаптация и интеграция мигрантов";</w:t>
            </w:r>
          </w:p>
          <w:p w:rsidR="00DA6676" w:rsidRPr="00DA6676" w:rsidRDefault="00DA6676">
            <w:pPr>
              <w:spacing w:after="1" w:line="220" w:lineRule="auto"/>
              <w:rPr>
                <w:rFonts w:ascii="Times New Roman" w:hAnsi="Times New Roman" w:cs="Times New Roman"/>
                <w:sz w:val="24"/>
                <w:szCs w:val="24"/>
              </w:rPr>
            </w:pPr>
            <w:hyperlink r:id="rId11">
              <w:r w:rsidRPr="00DA6676">
                <w:rPr>
                  <w:rFonts w:ascii="Times New Roman" w:hAnsi="Times New Roman" w:cs="Times New Roman"/>
                  <w:color w:val="0000FF"/>
                  <w:sz w:val="24"/>
                  <w:szCs w:val="24"/>
                </w:rPr>
                <w:t>направление (подпрограмма) 7</w:t>
              </w:r>
            </w:hyperlink>
            <w:r w:rsidRPr="00DA6676">
              <w:rPr>
                <w:rFonts w:ascii="Times New Roman" w:hAnsi="Times New Roman" w:cs="Times New Roman"/>
                <w:sz w:val="24"/>
                <w:szCs w:val="24"/>
              </w:rPr>
              <w:t xml:space="preserve"> "Профилактика экстремизма на национальной и религиозной почве";</w:t>
            </w:r>
          </w:p>
          <w:p w:rsidR="00DA6676" w:rsidRPr="00DA6676" w:rsidRDefault="00DA6676">
            <w:pPr>
              <w:spacing w:after="1" w:line="220" w:lineRule="auto"/>
              <w:rPr>
                <w:rFonts w:ascii="Times New Roman" w:hAnsi="Times New Roman" w:cs="Times New Roman"/>
                <w:sz w:val="24"/>
                <w:szCs w:val="24"/>
              </w:rPr>
            </w:pPr>
            <w:hyperlink r:id="rId12">
              <w:r w:rsidRPr="00DA6676">
                <w:rPr>
                  <w:rFonts w:ascii="Times New Roman" w:hAnsi="Times New Roman" w:cs="Times New Roman"/>
                  <w:color w:val="0000FF"/>
                  <w:sz w:val="24"/>
                  <w:szCs w:val="24"/>
                </w:rPr>
                <w:t>направление (подпрограмма) 8</w:t>
              </w:r>
            </w:hyperlink>
            <w:r w:rsidRPr="00DA6676">
              <w:rPr>
                <w:rFonts w:ascii="Times New Roman" w:hAnsi="Times New Roman" w:cs="Times New Roman"/>
                <w:sz w:val="24"/>
                <w:szCs w:val="24"/>
              </w:rPr>
              <w:t xml:space="preserve"> "Институты гражданского общества";</w:t>
            </w:r>
          </w:p>
          <w:p w:rsidR="00DA6676" w:rsidRPr="00DA6676" w:rsidRDefault="00DA6676">
            <w:pPr>
              <w:spacing w:after="1" w:line="220" w:lineRule="auto"/>
              <w:rPr>
                <w:rFonts w:ascii="Times New Roman" w:hAnsi="Times New Roman" w:cs="Times New Roman"/>
                <w:sz w:val="24"/>
                <w:szCs w:val="24"/>
              </w:rPr>
            </w:pPr>
            <w:hyperlink r:id="rId13">
              <w:r w:rsidRPr="00DA6676">
                <w:rPr>
                  <w:rFonts w:ascii="Times New Roman" w:hAnsi="Times New Roman" w:cs="Times New Roman"/>
                  <w:color w:val="0000FF"/>
                  <w:sz w:val="24"/>
                  <w:szCs w:val="24"/>
                </w:rPr>
                <w:t>направление (подпрограмма) 9</w:t>
              </w:r>
            </w:hyperlink>
            <w:r w:rsidRPr="00DA6676">
              <w:rPr>
                <w:rFonts w:ascii="Times New Roman" w:hAnsi="Times New Roman" w:cs="Times New Roman"/>
                <w:sz w:val="24"/>
                <w:szCs w:val="24"/>
              </w:rPr>
              <w:t xml:space="preserve"> "Информационное обеспечение реализации государственной национальной политики"</w:t>
            </w:r>
          </w:p>
        </w:tc>
      </w:tr>
      <w:tr w:rsidR="00DA6676" w:rsidRPr="00DA6676">
        <w:tc>
          <w:tcPr>
            <w:tcW w:w="2551" w:type="dxa"/>
            <w:vMerge w:val="restart"/>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Объемы финансового обеспечения за счет всех источников за весь период реализации</w:t>
            </w:r>
          </w:p>
        </w:tc>
        <w:tc>
          <w:tcPr>
            <w:tcW w:w="340" w:type="dxa"/>
            <w:vMerge w:val="restart"/>
            <w:tcBorders>
              <w:top w:val="nil"/>
              <w:bottom w:val="nil"/>
            </w:tcBorders>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w:t>
            </w:r>
          </w:p>
        </w:tc>
        <w:tc>
          <w:tcPr>
            <w:tcW w:w="10149" w:type="dxa"/>
            <w:gridSpan w:val="9"/>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объем бюджетных ассигнований на реализацию Программы составляет:</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из средств федерального бюджета - 63916,4 тыс. рублей;</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из средств республиканского бюджета Республики Тыва - 62651,41 тыс. рублей.</w:t>
            </w:r>
          </w:p>
          <w:p w:rsid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Объем бюджетных ассигнований на реализацию Программы по годам составляет 126567,81 тыс. рублей:</w:t>
            </w:r>
          </w:p>
          <w:p w:rsidR="00DA6676" w:rsidRDefault="00DA6676">
            <w:pPr>
              <w:spacing w:after="1" w:line="220" w:lineRule="auto"/>
              <w:rPr>
                <w:rFonts w:ascii="Times New Roman" w:hAnsi="Times New Roman" w:cs="Times New Roman"/>
                <w:sz w:val="24"/>
                <w:szCs w:val="24"/>
              </w:rPr>
            </w:pPr>
          </w:p>
          <w:p w:rsidR="00DA6676" w:rsidRDefault="00DA6676">
            <w:pPr>
              <w:spacing w:after="1" w:line="220" w:lineRule="auto"/>
              <w:rPr>
                <w:rFonts w:ascii="Times New Roman" w:hAnsi="Times New Roman" w:cs="Times New Roman"/>
                <w:sz w:val="24"/>
                <w:szCs w:val="24"/>
              </w:rPr>
            </w:pPr>
          </w:p>
          <w:p w:rsidR="00DA6676" w:rsidRDefault="00DA6676">
            <w:pPr>
              <w:spacing w:after="1" w:line="220" w:lineRule="auto"/>
              <w:rPr>
                <w:rFonts w:ascii="Times New Roman" w:hAnsi="Times New Roman" w:cs="Times New Roman"/>
                <w:sz w:val="24"/>
                <w:szCs w:val="24"/>
              </w:rPr>
            </w:pPr>
          </w:p>
          <w:p w:rsidR="00DA6676" w:rsidRDefault="00DA6676">
            <w:pPr>
              <w:spacing w:after="1" w:line="220" w:lineRule="auto"/>
              <w:rPr>
                <w:rFonts w:ascii="Times New Roman" w:hAnsi="Times New Roman" w:cs="Times New Roman"/>
                <w:sz w:val="24"/>
                <w:szCs w:val="24"/>
              </w:rPr>
            </w:pPr>
          </w:p>
          <w:p w:rsidR="00DA6676" w:rsidRDefault="00DA6676">
            <w:pPr>
              <w:spacing w:after="1" w:line="220" w:lineRule="auto"/>
              <w:rPr>
                <w:rFonts w:ascii="Times New Roman" w:hAnsi="Times New Roman" w:cs="Times New Roman"/>
                <w:sz w:val="24"/>
                <w:szCs w:val="24"/>
              </w:rPr>
            </w:pPr>
          </w:p>
          <w:p w:rsidR="00DA6676" w:rsidRDefault="00DA6676">
            <w:pPr>
              <w:spacing w:after="1" w:line="220" w:lineRule="auto"/>
              <w:rPr>
                <w:rFonts w:ascii="Times New Roman" w:hAnsi="Times New Roman" w:cs="Times New Roman"/>
                <w:sz w:val="24"/>
                <w:szCs w:val="24"/>
              </w:rPr>
            </w:pPr>
          </w:p>
          <w:p w:rsidR="00DA6676" w:rsidRPr="00DA6676" w:rsidRDefault="00DA6676">
            <w:pPr>
              <w:spacing w:after="1" w:line="220" w:lineRule="auto"/>
              <w:rPr>
                <w:rFonts w:ascii="Times New Roman" w:hAnsi="Times New Roman" w:cs="Times New Roman"/>
                <w:sz w:val="24"/>
                <w:szCs w:val="24"/>
              </w:rPr>
            </w:pPr>
          </w:p>
        </w:tc>
      </w:tr>
      <w:tr w:rsidR="00DA6676" w:rsidRPr="00DA6676">
        <w:tc>
          <w:tcPr>
            <w:tcW w:w="2551" w:type="dxa"/>
            <w:vMerge/>
            <w:tcBorders>
              <w:top w:val="nil"/>
              <w:bottom w:val="nil"/>
            </w:tcBorders>
          </w:tcPr>
          <w:p w:rsidR="00DA6676" w:rsidRPr="00DA6676" w:rsidRDefault="00DA6676">
            <w:pPr>
              <w:rPr>
                <w:rFonts w:ascii="Times New Roman" w:hAnsi="Times New Roman" w:cs="Times New Roman"/>
                <w:sz w:val="24"/>
                <w:szCs w:val="24"/>
              </w:rPr>
            </w:pPr>
          </w:p>
        </w:tc>
        <w:tc>
          <w:tcPr>
            <w:tcW w:w="340" w:type="dxa"/>
            <w:vMerge/>
            <w:tcBorders>
              <w:top w:val="nil"/>
              <w:bottom w:val="nil"/>
            </w:tcBorders>
          </w:tcPr>
          <w:p w:rsidR="00DA6676" w:rsidRPr="00DA6676" w:rsidRDefault="00DA6676">
            <w:pPr>
              <w:rPr>
                <w:rFonts w:ascii="Times New Roman" w:hAnsi="Times New Roman" w:cs="Times New Roman"/>
                <w:sz w:val="24"/>
                <w:szCs w:val="24"/>
              </w:rPr>
            </w:pPr>
          </w:p>
        </w:tc>
        <w:tc>
          <w:tcPr>
            <w:tcW w:w="10149" w:type="dxa"/>
            <w:gridSpan w:val="9"/>
            <w:tcBorders>
              <w:top w:val="nil"/>
            </w:tcBorders>
          </w:tcPr>
          <w:p w:rsidR="00DA6676" w:rsidRPr="00DA6676" w:rsidRDefault="00DA6676">
            <w:pPr>
              <w:spacing w:after="1" w:line="220" w:lineRule="auto"/>
              <w:jc w:val="right"/>
              <w:rPr>
                <w:rFonts w:ascii="Times New Roman" w:hAnsi="Times New Roman" w:cs="Times New Roman"/>
                <w:sz w:val="24"/>
                <w:szCs w:val="24"/>
              </w:rPr>
            </w:pPr>
            <w:r w:rsidRPr="00DA6676">
              <w:rPr>
                <w:rFonts w:ascii="Times New Roman" w:hAnsi="Times New Roman" w:cs="Times New Roman"/>
                <w:sz w:val="24"/>
                <w:szCs w:val="24"/>
              </w:rPr>
              <w:t>тыс. рублей</w:t>
            </w:r>
          </w:p>
        </w:tc>
      </w:tr>
      <w:tr w:rsidR="00DA6676" w:rsidRPr="00DA6676">
        <w:tblPrEx>
          <w:tblBorders>
            <w:right w:val="single" w:sz="4" w:space="0" w:color="auto"/>
            <w:insideH w:val="single" w:sz="4" w:space="0" w:color="auto"/>
            <w:insideV w:val="single" w:sz="4" w:space="0" w:color="auto"/>
          </w:tblBorders>
        </w:tblPrEx>
        <w:tc>
          <w:tcPr>
            <w:tcW w:w="2551" w:type="dxa"/>
            <w:vMerge/>
            <w:tcBorders>
              <w:top w:val="nil"/>
              <w:left w:val="nil"/>
              <w:bottom w:val="nil"/>
              <w:right w:val="nil"/>
            </w:tcBorders>
          </w:tcPr>
          <w:p w:rsidR="00DA6676" w:rsidRPr="00DA6676" w:rsidRDefault="00DA6676">
            <w:pPr>
              <w:rPr>
                <w:rFonts w:ascii="Times New Roman" w:hAnsi="Times New Roman" w:cs="Times New Roman"/>
                <w:sz w:val="24"/>
                <w:szCs w:val="24"/>
              </w:rPr>
            </w:pPr>
          </w:p>
        </w:tc>
        <w:tc>
          <w:tcPr>
            <w:tcW w:w="340" w:type="dxa"/>
            <w:vMerge/>
            <w:tcBorders>
              <w:top w:val="nil"/>
              <w:left w:val="nil"/>
              <w:bottom w:val="nil"/>
              <w:right w:val="nil"/>
            </w:tcBorders>
          </w:tcPr>
          <w:p w:rsidR="00DA6676" w:rsidRPr="00DA6676" w:rsidRDefault="00DA6676">
            <w:pPr>
              <w:rPr>
                <w:rFonts w:ascii="Times New Roman" w:hAnsi="Times New Roman" w:cs="Times New Roman"/>
                <w:sz w:val="24"/>
                <w:szCs w:val="24"/>
              </w:rPr>
            </w:pPr>
          </w:p>
        </w:tc>
        <w:tc>
          <w:tcPr>
            <w:tcW w:w="1191" w:type="dxa"/>
          </w:tcPr>
          <w:p w:rsidR="00DA6676" w:rsidRPr="00DA6676" w:rsidRDefault="00DA6676">
            <w:pPr>
              <w:spacing w:after="1" w:line="220" w:lineRule="auto"/>
              <w:rPr>
                <w:rFonts w:ascii="Times New Roman" w:hAnsi="Times New Roman" w:cs="Times New Roman"/>
                <w:sz w:val="24"/>
                <w:szCs w:val="24"/>
              </w:rPr>
            </w:pP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2024</w:t>
            </w:r>
          </w:p>
        </w:tc>
        <w:tc>
          <w:tcPr>
            <w:tcW w:w="1191"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2025</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2026</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2027</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2028</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2029</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2030</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Всего</w:t>
            </w:r>
          </w:p>
        </w:tc>
      </w:tr>
      <w:tr w:rsidR="00DA6676" w:rsidRPr="00DA6676">
        <w:tblPrEx>
          <w:tblBorders>
            <w:right w:val="single" w:sz="4" w:space="0" w:color="auto"/>
            <w:insideH w:val="single" w:sz="4" w:space="0" w:color="auto"/>
            <w:insideV w:val="single" w:sz="4" w:space="0" w:color="auto"/>
          </w:tblBorders>
        </w:tblPrEx>
        <w:tc>
          <w:tcPr>
            <w:tcW w:w="2551" w:type="dxa"/>
            <w:vMerge/>
            <w:tcBorders>
              <w:top w:val="nil"/>
              <w:left w:val="nil"/>
              <w:bottom w:val="nil"/>
              <w:right w:val="nil"/>
            </w:tcBorders>
          </w:tcPr>
          <w:p w:rsidR="00DA6676" w:rsidRPr="00DA6676" w:rsidRDefault="00DA6676">
            <w:pPr>
              <w:rPr>
                <w:rFonts w:ascii="Times New Roman" w:hAnsi="Times New Roman" w:cs="Times New Roman"/>
                <w:sz w:val="24"/>
                <w:szCs w:val="24"/>
              </w:rPr>
            </w:pPr>
          </w:p>
        </w:tc>
        <w:tc>
          <w:tcPr>
            <w:tcW w:w="340" w:type="dxa"/>
            <w:vMerge/>
            <w:tcBorders>
              <w:top w:val="nil"/>
              <w:left w:val="nil"/>
              <w:bottom w:val="nil"/>
              <w:right w:val="nil"/>
            </w:tcBorders>
          </w:tcPr>
          <w:p w:rsidR="00DA6676" w:rsidRPr="00DA6676" w:rsidRDefault="00DA6676">
            <w:pPr>
              <w:rPr>
                <w:rFonts w:ascii="Times New Roman" w:hAnsi="Times New Roman" w:cs="Times New Roman"/>
                <w:sz w:val="24"/>
                <w:szCs w:val="24"/>
              </w:rPr>
            </w:pPr>
          </w:p>
        </w:tc>
        <w:tc>
          <w:tcPr>
            <w:tcW w:w="1191" w:type="dxa"/>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Общий бюджет</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18339,4</w:t>
            </w:r>
          </w:p>
        </w:tc>
        <w:tc>
          <w:tcPr>
            <w:tcW w:w="1191"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0</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456,6</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24545,16</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25846,77</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28152,83</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29485,61</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126826,37</w:t>
            </w:r>
          </w:p>
        </w:tc>
      </w:tr>
      <w:tr w:rsidR="00DA6676" w:rsidRPr="00DA6676">
        <w:tblPrEx>
          <w:tblBorders>
            <w:right w:val="single" w:sz="4" w:space="0" w:color="auto"/>
            <w:insideH w:val="single" w:sz="4" w:space="0" w:color="auto"/>
            <w:insideV w:val="single" w:sz="4" w:space="0" w:color="auto"/>
          </w:tblBorders>
        </w:tblPrEx>
        <w:tc>
          <w:tcPr>
            <w:tcW w:w="2551" w:type="dxa"/>
            <w:vMerge/>
            <w:tcBorders>
              <w:top w:val="nil"/>
              <w:left w:val="nil"/>
              <w:bottom w:val="nil"/>
              <w:right w:val="nil"/>
            </w:tcBorders>
          </w:tcPr>
          <w:p w:rsidR="00DA6676" w:rsidRPr="00DA6676" w:rsidRDefault="00DA6676">
            <w:pPr>
              <w:rPr>
                <w:rFonts w:ascii="Times New Roman" w:hAnsi="Times New Roman" w:cs="Times New Roman"/>
                <w:sz w:val="24"/>
                <w:szCs w:val="24"/>
              </w:rPr>
            </w:pPr>
          </w:p>
        </w:tc>
        <w:tc>
          <w:tcPr>
            <w:tcW w:w="340" w:type="dxa"/>
            <w:vMerge/>
            <w:tcBorders>
              <w:top w:val="nil"/>
              <w:left w:val="nil"/>
              <w:bottom w:val="nil"/>
              <w:right w:val="nil"/>
            </w:tcBorders>
          </w:tcPr>
          <w:p w:rsidR="00DA6676" w:rsidRPr="00DA6676" w:rsidRDefault="00DA6676">
            <w:pPr>
              <w:rPr>
                <w:rFonts w:ascii="Times New Roman" w:hAnsi="Times New Roman" w:cs="Times New Roman"/>
                <w:sz w:val="24"/>
                <w:szCs w:val="24"/>
              </w:rPr>
            </w:pPr>
          </w:p>
        </w:tc>
        <w:tc>
          <w:tcPr>
            <w:tcW w:w="1191" w:type="dxa"/>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Федеральный бюджет</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10631,4</w:t>
            </w:r>
          </w:p>
        </w:tc>
        <w:tc>
          <w:tcPr>
            <w:tcW w:w="1191"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0</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0</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12676</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12823</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14039</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14003</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64172,4</w:t>
            </w:r>
          </w:p>
        </w:tc>
      </w:tr>
      <w:tr w:rsidR="00DA6676" w:rsidRPr="00DA6676">
        <w:tblPrEx>
          <w:tblBorders>
            <w:right w:val="single" w:sz="4" w:space="0" w:color="auto"/>
            <w:insideH w:val="single" w:sz="4" w:space="0" w:color="auto"/>
            <w:insideV w:val="single" w:sz="4" w:space="0" w:color="auto"/>
          </w:tblBorders>
        </w:tblPrEx>
        <w:tc>
          <w:tcPr>
            <w:tcW w:w="2551" w:type="dxa"/>
            <w:vMerge/>
            <w:tcBorders>
              <w:top w:val="nil"/>
              <w:left w:val="nil"/>
              <w:bottom w:val="nil"/>
              <w:right w:val="nil"/>
            </w:tcBorders>
          </w:tcPr>
          <w:p w:rsidR="00DA6676" w:rsidRPr="00DA6676" w:rsidRDefault="00DA6676">
            <w:pPr>
              <w:rPr>
                <w:rFonts w:ascii="Times New Roman" w:hAnsi="Times New Roman" w:cs="Times New Roman"/>
                <w:sz w:val="24"/>
                <w:szCs w:val="24"/>
              </w:rPr>
            </w:pPr>
          </w:p>
        </w:tc>
        <w:tc>
          <w:tcPr>
            <w:tcW w:w="340" w:type="dxa"/>
            <w:vMerge/>
            <w:tcBorders>
              <w:top w:val="nil"/>
              <w:left w:val="nil"/>
              <w:bottom w:val="nil"/>
              <w:right w:val="nil"/>
            </w:tcBorders>
          </w:tcPr>
          <w:p w:rsidR="00DA6676" w:rsidRPr="00DA6676" w:rsidRDefault="00DA6676">
            <w:pPr>
              <w:rPr>
                <w:rFonts w:ascii="Times New Roman" w:hAnsi="Times New Roman" w:cs="Times New Roman"/>
                <w:sz w:val="24"/>
                <w:szCs w:val="24"/>
              </w:rPr>
            </w:pPr>
          </w:p>
        </w:tc>
        <w:tc>
          <w:tcPr>
            <w:tcW w:w="1191" w:type="dxa"/>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Республиканский бюджет</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7708</w:t>
            </w:r>
          </w:p>
        </w:tc>
        <w:tc>
          <w:tcPr>
            <w:tcW w:w="1191"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0</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456,6</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11869,16</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13023,77</w:t>
            </w:r>
          </w:p>
        </w:tc>
        <w:tc>
          <w:tcPr>
            <w:tcW w:w="1134"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14113,83</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15482,61</w:t>
            </w:r>
          </w:p>
        </w:tc>
        <w:tc>
          <w:tcPr>
            <w:tcW w:w="1077" w:type="dxa"/>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62653,97</w:t>
            </w:r>
          </w:p>
        </w:tc>
      </w:tr>
      <w:tr w:rsidR="00DA6676" w:rsidRPr="00DA6676">
        <w:tc>
          <w:tcPr>
            <w:tcW w:w="2551" w:type="dxa"/>
            <w:vMerge/>
            <w:tcBorders>
              <w:top w:val="nil"/>
              <w:bottom w:val="nil"/>
            </w:tcBorders>
          </w:tcPr>
          <w:p w:rsidR="00DA6676" w:rsidRPr="00DA6676" w:rsidRDefault="00DA6676">
            <w:pPr>
              <w:rPr>
                <w:rFonts w:ascii="Times New Roman" w:hAnsi="Times New Roman" w:cs="Times New Roman"/>
                <w:sz w:val="24"/>
                <w:szCs w:val="24"/>
              </w:rPr>
            </w:pPr>
          </w:p>
        </w:tc>
        <w:tc>
          <w:tcPr>
            <w:tcW w:w="340" w:type="dxa"/>
            <w:vMerge/>
            <w:tcBorders>
              <w:top w:val="nil"/>
              <w:bottom w:val="nil"/>
            </w:tcBorders>
          </w:tcPr>
          <w:p w:rsidR="00DA6676" w:rsidRPr="00DA6676" w:rsidRDefault="00DA6676">
            <w:pPr>
              <w:rPr>
                <w:rFonts w:ascii="Times New Roman" w:hAnsi="Times New Roman" w:cs="Times New Roman"/>
                <w:sz w:val="24"/>
                <w:szCs w:val="24"/>
              </w:rPr>
            </w:pPr>
          </w:p>
        </w:tc>
        <w:tc>
          <w:tcPr>
            <w:tcW w:w="10149" w:type="dxa"/>
            <w:gridSpan w:val="9"/>
            <w:tcBorders>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 xml:space="preserve">Объем финансирования Программы может быть уточнен в порядке, установленном законом о бюджете на очередной финансовый год, исходя из возможностей бюджета Республики Тыва. </w:t>
            </w:r>
            <w:proofErr w:type="gramStart"/>
            <w:r w:rsidRPr="00DA6676">
              <w:rPr>
                <w:rFonts w:ascii="Times New Roman" w:hAnsi="Times New Roman" w:cs="Times New Roman"/>
                <w:sz w:val="24"/>
                <w:szCs w:val="24"/>
              </w:rPr>
              <w:t xml:space="preserve">Суммы </w:t>
            </w:r>
            <w:proofErr w:type="spellStart"/>
            <w:r w:rsidRPr="00DA6676">
              <w:rPr>
                <w:rFonts w:ascii="Times New Roman" w:hAnsi="Times New Roman" w:cs="Times New Roman"/>
                <w:sz w:val="24"/>
                <w:szCs w:val="24"/>
              </w:rPr>
              <w:t>софинансирования</w:t>
            </w:r>
            <w:proofErr w:type="spellEnd"/>
            <w:r w:rsidRPr="00DA6676">
              <w:rPr>
                <w:rFonts w:ascii="Times New Roman" w:hAnsi="Times New Roman" w:cs="Times New Roman"/>
                <w:sz w:val="24"/>
                <w:szCs w:val="24"/>
              </w:rPr>
              <w:t xml:space="preserve"> Программы из федерального и республиканского бюджетов могут быть скорректированы согласно уточнениям федерального бюджета</w:t>
            </w:r>
            <w:proofErr w:type="gramEnd"/>
          </w:p>
        </w:tc>
      </w:tr>
      <w:tr w:rsidR="00DA6676" w:rsidRPr="00DA6676">
        <w:tblPrEx>
          <w:tblBorders>
            <w:insideV w:val="single" w:sz="4" w:space="0" w:color="auto"/>
          </w:tblBorders>
        </w:tblPrEx>
        <w:tc>
          <w:tcPr>
            <w:tcW w:w="13040" w:type="dxa"/>
            <w:gridSpan w:val="11"/>
            <w:tcBorders>
              <w:top w:val="nil"/>
              <w:left w:val="nil"/>
              <w:bottom w:val="nil"/>
              <w:right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 xml:space="preserve">(позиция в ред. </w:t>
            </w:r>
            <w:hyperlink r:id="rId14">
              <w:r w:rsidRPr="00DA6676">
                <w:rPr>
                  <w:rFonts w:ascii="Times New Roman" w:hAnsi="Times New Roman" w:cs="Times New Roman"/>
                  <w:color w:val="0000FF"/>
                  <w:sz w:val="24"/>
                  <w:szCs w:val="24"/>
                </w:rPr>
                <w:t>Постановления</w:t>
              </w:r>
            </w:hyperlink>
            <w:r w:rsidRPr="00DA6676">
              <w:rPr>
                <w:rFonts w:ascii="Times New Roman" w:hAnsi="Times New Roman" w:cs="Times New Roman"/>
                <w:sz w:val="24"/>
                <w:szCs w:val="24"/>
              </w:rPr>
              <w:t xml:space="preserve"> Правительства РТ от 03.04.2024 N 150)</w:t>
            </w:r>
          </w:p>
        </w:tc>
      </w:tr>
      <w:tr w:rsidR="00DA6676" w:rsidRPr="00DA6676">
        <w:tc>
          <w:tcPr>
            <w:tcW w:w="2551" w:type="dxa"/>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Связь с национальными целями развития Российской Федерации/ государственной программой Российской Федерации/ государственной программой</w:t>
            </w:r>
          </w:p>
        </w:tc>
        <w:tc>
          <w:tcPr>
            <w:tcW w:w="340" w:type="dxa"/>
            <w:tcBorders>
              <w:top w:val="nil"/>
              <w:bottom w:val="nil"/>
            </w:tcBorders>
          </w:tcPr>
          <w:p w:rsidR="00DA6676" w:rsidRPr="00DA6676" w:rsidRDefault="00DA6676">
            <w:pPr>
              <w:spacing w:after="1" w:line="220" w:lineRule="auto"/>
              <w:jc w:val="center"/>
              <w:rPr>
                <w:rFonts w:ascii="Times New Roman" w:hAnsi="Times New Roman" w:cs="Times New Roman"/>
                <w:sz w:val="24"/>
                <w:szCs w:val="24"/>
              </w:rPr>
            </w:pPr>
            <w:r w:rsidRPr="00DA6676">
              <w:rPr>
                <w:rFonts w:ascii="Times New Roman" w:hAnsi="Times New Roman" w:cs="Times New Roman"/>
                <w:sz w:val="24"/>
                <w:szCs w:val="24"/>
              </w:rPr>
              <w:t>-</w:t>
            </w:r>
          </w:p>
        </w:tc>
        <w:tc>
          <w:tcPr>
            <w:tcW w:w="10149" w:type="dxa"/>
            <w:gridSpan w:val="9"/>
            <w:tcBorders>
              <w:top w:val="nil"/>
              <w:bottom w:val="nil"/>
            </w:tcBorders>
          </w:tcPr>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 xml:space="preserve">национальная </w:t>
            </w:r>
            <w:hyperlink r:id="rId15">
              <w:r w:rsidRPr="00DA6676">
                <w:rPr>
                  <w:rFonts w:ascii="Times New Roman" w:hAnsi="Times New Roman" w:cs="Times New Roman"/>
                  <w:color w:val="0000FF"/>
                  <w:sz w:val="24"/>
                  <w:szCs w:val="24"/>
                </w:rPr>
                <w:t>цель</w:t>
              </w:r>
            </w:hyperlink>
            <w:r w:rsidRPr="00DA6676">
              <w:rPr>
                <w:rFonts w:ascii="Times New Roman" w:hAnsi="Times New Roman" w:cs="Times New Roman"/>
                <w:sz w:val="24"/>
                <w:szCs w:val="24"/>
              </w:rPr>
              <w:t xml:space="preserve">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DA6676" w:rsidRPr="00DA6676" w:rsidRDefault="00DA6676">
            <w:pPr>
              <w:spacing w:after="1" w:line="220" w:lineRule="auto"/>
              <w:rPr>
                <w:rFonts w:ascii="Times New Roman" w:hAnsi="Times New Roman" w:cs="Times New Roman"/>
                <w:sz w:val="24"/>
                <w:szCs w:val="24"/>
              </w:rPr>
            </w:pPr>
            <w:r w:rsidRPr="00DA6676">
              <w:rPr>
                <w:rFonts w:ascii="Times New Roman" w:hAnsi="Times New Roman" w:cs="Times New Roman"/>
                <w:sz w:val="24"/>
                <w:szCs w:val="24"/>
              </w:rPr>
              <w:t xml:space="preserve">государственная </w:t>
            </w:r>
            <w:hyperlink r:id="rId16">
              <w:r w:rsidRPr="00DA6676">
                <w:rPr>
                  <w:rFonts w:ascii="Times New Roman" w:hAnsi="Times New Roman" w:cs="Times New Roman"/>
                  <w:color w:val="0000FF"/>
                  <w:sz w:val="24"/>
                  <w:szCs w:val="24"/>
                </w:rPr>
                <w:t>программа</w:t>
              </w:r>
            </w:hyperlink>
            <w:r w:rsidRPr="00DA6676">
              <w:rPr>
                <w:rFonts w:ascii="Times New Roman" w:hAnsi="Times New Roman" w:cs="Times New Roman"/>
                <w:sz w:val="24"/>
                <w:szCs w:val="24"/>
              </w:rPr>
              <w:t xml:space="preserve"> Российской Федерации "Реализация государственной национальной политики" (утверждена постановлением Правительства Российской Федерации от 29 декабря 2016 г. N 1532)</w:t>
            </w:r>
          </w:p>
        </w:tc>
      </w:tr>
    </w:tbl>
    <w:p w:rsidR="0019074A" w:rsidRDefault="0019074A">
      <w:bookmarkStart w:id="0" w:name="_GoBack"/>
      <w:bookmarkEnd w:id="0"/>
    </w:p>
    <w:sectPr w:rsidR="0019074A" w:rsidSect="00091D9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4C"/>
    <w:rsid w:val="0019074A"/>
    <w:rsid w:val="00B91D4C"/>
    <w:rsid w:val="00DA6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4&amp;n=43091&amp;dst=110557" TargetMode="External"/><Relationship Id="rId13" Type="http://schemas.openxmlformats.org/officeDocument/2006/relationships/hyperlink" Target="https://login.consultant.ru/link/?req=doc&amp;base=RLAW434&amp;n=43091&amp;dst=1106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434&amp;n=43091&amp;dst=110492" TargetMode="External"/><Relationship Id="rId12" Type="http://schemas.openxmlformats.org/officeDocument/2006/relationships/hyperlink" Target="https://login.consultant.ru/link/?req=doc&amp;base=RLAW434&amp;n=43091&amp;dst=11067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71253&amp;dst=100030" TargetMode="External"/><Relationship Id="rId1" Type="http://schemas.openxmlformats.org/officeDocument/2006/relationships/styles" Target="styles.xml"/><Relationship Id="rId6" Type="http://schemas.openxmlformats.org/officeDocument/2006/relationships/hyperlink" Target="https://login.consultant.ru/link/?req=doc&amp;base=RLAW434&amp;n=43091&amp;dst=110451" TargetMode="External"/><Relationship Id="rId11" Type="http://schemas.openxmlformats.org/officeDocument/2006/relationships/hyperlink" Target="https://login.consultant.ru/link/?req=doc&amp;base=RLAW434&amp;n=43091&amp;dst=110652" TargetMode="External"/><Relationship Id="rId5" Type="http://schemas.openxmlformats.org/officeDocument/2006/relationships/hyperlink" Target="https://login.consultant.ru/link/?req=doc&amp;base=RLAW434&amp;n=43091&amp;dst=110401" TargetMode="External"/><Relationship Id="rId15" Type="http://schemas.openxmlformats.org/officeDocument/2006/relationships/hyperlink" Target="https://login.consultant.ru/link/?req=doc&amp;base=LAW&amp;n=357927&amp;dst=100023" TargetMode="External"/><Relationship Id="rId10" Type="http://schemas.openxmlformats.org/officeDocument/2006/relationships/hyperlink" Target="https://login.consultant.ru/link/?req=doc&amp;base=RLAW434&amp;n=43091&amp;dst=110631" TargetMode="External"/><Relationship Id="rId4" Type="http://schemas.openxmlformats.org/officeDocument/2006/relationships/webSettings" Target="webSettings.xml"/><Relationship Id="rId9" Type="http://schemas.openxmlformats.org/officeDocument/2006/relationships/hyperlink" Target="https://login.consultant.ru/link/?req=doc&amp;base=RLAW434&amp;n=43091&amp;dst=110578" TargetMode="External"/><Relationship Id="rId14" Type="http://schemas.openxmlformats.org/officeDocument/2006/relationships/hyperlink" Target="https://login.consultant.ru/link/?req=doc&amp;base=RLAW434&amp;n=42252&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Кызанмай Юлзана Аясовна</dc:creator>
  <cp:keywords/>
  <dc:description/>
  <cp:lastModifiedBy>Кызанмай Юлзана Аясовна</cp:lastModifiedBy>
  <cp:revision>2</cp:revision>
  <dcterms:created xsi:type="dcterms:W3CDTF">2024-09-13T07:20:00Z</dcterms:created>
  <dcterms:modified xsi:type="dcterms:W3CDTF">2024-09-13T07:24:00Z</dcterms:modified>
</cp:coreProperties>
</file>