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42" w:rsidRPr="0000434B" w:rsidRDefault="00575342" w:rsidP="00575342">
      <w:pPr>
        <w:ind w:left="5103"/>
        <w:jc w:val="center"/>
        <w:rPr>
          <w:sz w:val="28"/>
        </w:rPr>
      </w:pPr>
      <w:r>
        <w:rPr>
          <w:sz w:val="28"/>
        </w:rPr>
        <w:t>Приложение № 2 к Порядку</w:t>
      </w:r>
      <w:r w:rsidRPr="0000434B">
        <w:rPr>
          <w:sz w:val="28"/>
        </w:rPr>
        <w:t xml:space="preserve"> публичного обсуждения (публичных консультаций) проектов нормативных правовых актов</w:t>
      </w:r>
    </w:p>
    <w:p w:rsidR="00575342" w:rsidRPr="0000434B" w:rsidRDefault="00575342" w:rsidP="00575342">
      <w:pPr>
        <w:ind w:firstLine="567"/>
        <w:jc w:val="both"/>
        <w:rPr>
          <w:strike/>
          <w:sz w:val="28"/>
        </w:rPr>
      </w:pPr>
    </w:p>
    <w:p w:rsidR="00575342" w:rsidRPr="001F6ACC" w:rsidRDefault="00575342" w:rsidP="00575342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575342" w:rsidRPr="0000434B" w:rsidRDefault="00575342" w:rsidP="00575342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575342" w:rsidRPr="0000434B" w:rsidTr="00BC1C03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575342" w:rsidRDefault="00575342" w:rsidP="00BC1C03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1B0C92" w:rsidRDefault="001B0C92" w:rsidP="001B0C92">
            <w:pPr>
              <w:ind w:firstLine="567"/>
              <w:jc w:val="both"/>
              <w:rPr>
                <w:sz w:val="28"/>
              </w:rPr>
            </w:pPr>
            <w:r w:rsidRPr="001B0C92">
              <w:rPr>
                <w:sz w:val="28"/>
              </w:rPr>
              <w:t xml:space="preserve">проект Закона Республики Тыва «О внесении изменений в закон Республики Тыва от 18.06.2024 N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</w:t>
            </w:r>
            <w:proofErr w:type="spellStart"/>
            <w:r w:rsidRPr="001B0C92">
              <w:rPr>
                <w:sz w:val="28"/>
              </w:rPr>
              <w:t>торгов»</w:t>
            </w:r>
            <w:proofErr w:type="spellEnd"/>
          </w:p>
          <w:p w:rsidR="00575342" w:rsidRPr="0000434B" w:rsidRDefault="00575342" w:rsidP="001B0C92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hyperlink r:id="rId5" w:history="1">
              <w:r w:rsidR="00453441" w:rsidRPr="00CB73C9">
                <w:rPr>
                  <w:rStyle w:val="a3"/>
                  <w:i/>
                  <w:sz w:val="28"/>
                </w:rPr>
                <w:t>M</w:t>
              </w:r>
              <w:r w:rsidR="00453441" w:rsidRPr="00CB73C9">
                <w:rPr>
                  <w:rStyle w:val="a3"/>
                  <w:i/>
                  <w:sz w:val="28"/>
                  <w:lang w:val="en-US"/>
                </w:rPr>
                <w:t>ziort</w:t>
              </w:r>
              <w:r w:rsidR="00453441" w:rsidRPr="00CB73C9">
                <w:rPr>
                  <w:rStyle w:val="a3"/>
                  <w:i/>
                  <w:sz w:val="28"/>
                </w:rPr>
                <w:t>@</w:t>
              </w:r>
              <w:r w:rsidR="00453441" w:rsidRPr="00CB73C9">
                <w:rPr>
                  <w:rStyle w:val="a3"/>
                  <w:i/>
                  <w:sz w:val="28"/>
                  <w:lang w:val="en-US"/>
                </w:rPr>
                <w:t>mail</w:t>
              </w:r>
              <w:r w:rsidR="00453441" w:rsidRPr="00CB73C9">
                <w:rPr>
                  <w:rStyle w:val="a3"/>
                  <w:i/>
                  <w:sz w:val="28"/>
                </w:rPr>
                <w:t>.</w:t>
              </w:r>
              <w:r w:rsidR="00453441" w:rsidRPr="00CB73C9">
                <w:rPr>
                  <w:rStyle w:val="a3"/>
                  <w:i/>
                  <w:sz w:val="28"/>
                  <w:lang w:val="en-US"/>
                </w:rPr>
                <w:t>ru</w:t>
              </w:r>
            </w:hyperlink>
            <w:r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 средствам п</w:t>
            </w:r>
            <w:r>
              <w:rPr>
                <w:sz w:val="28"/>
              </w:rPr>
              <w:t xml:space="preserve">очтовой связи: </w:t>
            </w:r>
            <w:r w:rsidRPr="00E074E5">
              <w:rPr>
                <w:i/>
                <w:sz w:val="28"/>
              </w:rPr>
              <w:t xml:space="preserve">667000, Республика Тыва, г. Кызыл, ул. </w:t>
            </w:r>
            <w:r w:rsidR="00453441">
              <w:rPr>
                <w:i/>
                <w:sz w:val="28"/>
              </w:rPr>
              <w:t>Калинина, д.1Б</w:t>
            </w:r>
            <w:r w:rsidRPr="00E074E5">
              <w:rPr>
                <w:i/>
                <w:sz w:val="28"/>
              </w:rPr>
              <w:t>,</w:t>
            </w:r>
            <w:r w:rsidRPr="0000434B">
              <w:rPr>
                <w:sz w:val="28"/>
              </w:rPr>
              <w:t xml:space="preserve"> не позднее</w:t>
            </w:r>
            <w:r w:rsidR="00CA2167">
              <w:rPr>
                <w:sz w:val="28"/>
              </w:rPr>
              <w:t xml:space="preserve"> </w:t>
            </w:r>
            <w:r w:rsidR="001B0C92">
              <w:rPr>
                <w:sz w:val="28"/>
              </w:rPr>
              <w:t>30</w:t>
            </w:r>
            <w:r>
              <w:rPr>
                <w:sz w:val="28"/>
              </w:rPr>
              <w:t>.04.20</w:t>
            </w:r>
            <w:r w:rsidR="00CA2167">
              <w:rPr>
                <w:sz w:val="28"/>
              </w:rPr>
              <w:t>2</w:t>
            </w:r>
            <w:r w:rsidR="001B0C92">
              <w:rPr>
                <w:sz w:val="28"/>
              </w:rPr>
              <w:t>5</w:t>
            </w:r>
            <w:bookmarkStart w:id="0" w:name="_GoBack"/>
            <w:bookmarkEnd w:id="0"/>
            <w:r>
              <w:rPr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575342" w:rsidRPr="0000434B" w:rsidRDefault="00575342" w:rsidP="00BC1C03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575342" w:rsidRPr="0000434B" w:rsidRDefault="00575342" w:rsidP="00575342">
      <w:pPr>
        <w:ind w:firstLine="567"/>
        <w:jc w:val="both"/>
        <w:rPr>
          <w:sz w:val="28"/>
        </w:rPr>
      </w:pPr>
    </w:p>
    <w:p w:rsidR="00575342" w:rsidRPr="001F6ACC" w:rsidRDefault="00575342" w:rsidP="00575342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75342" w:rsidRPr="0000434B" w:rsidTr="00BC1C03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575342" w:rsidRPr="0000434B" w:rsidTr="00BC1C03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75342" w:rsidRPr="0000434B" w:rsidTr="00BC1C03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575342" w:rsidRPr="0000434B" w:rsidTr="00BC1C03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Является ли выбранный вариант решения проблемы оптимальным (в </w:t>
            </w:r>
            <w:proofErr w:type="spellStart"/>
            <w:r w:rsidRPr="0000434B">
              <w:rPr>
                <w:sz w:val="28"/>
              </w:rPr>
              <w:t>т.ч</w:t>
            </w:r>
            <w:proofErr w:type="spellEnd"/>
            <w:r w:rsidRPr="0000434B">
              <w:rPr>
                <w:sz w:val="28"/>
              </w:rPr>
              <w:t xml:space="preserve">. с точки зрения выгод и издержек для общества в целом)? Существуют ли иные варианты достижения заявленных целей государственного </w:t>
            </w:r>
            <w:r w:rsidRPr="0000434B">
              <w:rPr>
                <w:sz w:val="28"/>
              </w:rPr>
              <w:lastRenderedPageBreak/>
              <w:t xml:space="preserve">регулирования? Если да, выделите те из них, которые, по Вашему мнению, были бы менее </w:t>
            </w:r>
            <w:proofErr w:type="spellStart"/>
            <w:r w:rsidRPr="0000434B">
              <w:rPr>
                <w:sz w:val="28"/>
              </w:rPr>
              <w:t>затратны</w:t>
            </w:r>
            <w:proofErr w:type="spellEnd"/>
            <w:r w:rsidRPr="0000434B">
              <w:rPr>
                <w:sz w:val="28"/>
              </w:rPr>
              <w:t xml:space="preserve"> и (или) более эффективны?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lastRenderedPageBreak/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575342" w:rsidRPr="0000434B" w:rsidTr="00BC1C03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75342" w:rsidRPr="0000434B" w:rsidTr="00BC1C03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575342" w:rsidRPr="0000434B" w:rsidTr="00BC1C0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575342" w:rsidRPr="0000434B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75342" w:rsidRPr="0000434B" w:rsidTr="00BC1C03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575342" w:rsidRPr="0000434B" w:rsidTr="00BC1C03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:rsidTr="00BC1C03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575342" w:rsidRPr="0000434B" w:rsidTr="00BC1C03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575342" w:rsidRDefault="00575342" w:rsidP="00575342"/>
    <w:p w:rsidR="00C53739" w:rsidRDefault="00C53739"/>
    <w:sectPr w:rsidR="00C53739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2"/>
    <w:rsid w:val="00022160"/>
    <w:rsid w:val="00022962"/>
    <w:rsid w:val="00026839"/>
    <w:rsid w:val="00044851"/>
    <w:rsid w:val="0004571D"/>
    <w:rsid w:val="00057D01"/>
    <w:rsid w:val="00061BF8"/>
    <w:rsid w:val="00065CC0"/>
    <w:rsid w:val="00074A9D"/>
    <w:rsid w:val="00075E46"/>
    <w:rsid w:val="000766BB"/>
    <w:rsid w:val="00093189"/>
    <w:rsid w:val="00095482"/>
    <w:rsid w:val="0009717F"/>
    <w:rsid w:val="000B48DC"/>
    <w:rsid w:val="000C337B"/>
    <w:rsid w:val="000D7C51"/>
    <w:rsid w:val="00110223"/>
    <w:rsid w:val="0011120E"/>
    <w:rsid w:val="001146A5"/>
    <w:rsid w:val="0012038E"/>
    <w:rsid w:val="0013526F"/>
    <w:rsid w:val="001404ED"/>
    <w:rsid w:val="001469AD"/>
    <w:rsid w:val="001500A6"/>
    <w:rsid w:val="001546C1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B0C92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7216"/>
    <w:rsid w:val="002C4064"/>
    <w:rsid w:val="002D29F7"/>
    <w:rsid w:val="002D301A"/>
    <w:rsid w:val="002E4E0E"/>
    <w:rsid w:val="003008C6"/>
    <w:rsid w:val="00306068"/>
    <w:rsid w:val="00306424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73BB"/>
    <w:rsid w:val="003B7E14"/>
    <w:rsid w:val="003E1E9A"/>
    <w:rsid w:val="003E39FD"/>
    <w:rsid w:val="003F1A2E"/>
    <w:rsid w:val="003F2260"/>
    <w:rsid w:val="003F4D02"/>
    <w:rsid w:val="00402348"/>
    <w:rsid w:val="00412EAE"/>
    <w:rsid w:val="0041382D"/>
    <w:rsid w:val="0043121D"/>
    <w:rsid w:val="00431897"/>
    <w:rsid w:val="004410AB"/>
    <w:rsid w:val="0044374C"/>
    <w:rsid w:val="00453441"/>
    <w:rsid w:val="00455BA0"/>
    <w:rsid w:val="00465E86"/>
    <w:rsid w:val="004717CC"/>
    <w:rsid w:val="00471ED2"/>
    <w:rsid w:val="00484EF3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100ED"/>
    <w:rsid w:val="005117C4"/>
    <w:rsid w:val="005229EA"/>
    <w:rsid w:val="00530066"/>
    <w:rsid w:val="00531A2B"/>
    <w:rsid w:val="00543C3A"/>
    <w:rsid w:val="005742F7"/>
    <w:rsid w:val="00575342"/>
    <w:rsid w:val="00582B23"/>
    <w:rsid w:val="00585453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7983"/>
    <w:rsid w:val="007B25AB"/>
    <w:rsid w:val="007C0ED8"/>
    <w:rsid w:val="007C6083"/>
    <w:rsid w:val="007E1147"/>
    <w:rsid w:val="007E6EB9"/>
    <w:rsid w:val="007F1968"/>
    <w:rsid w:val="00801690"/>
    <w:rsid w:val="00813EDF"/>
    <w:rsid w:val="0081410A"/>
    <w:rsid w:val="00820334"/>
    <w:rsid w:val="0083613F"/>
    <w:rsid w:val="00843ABD"/>
    <w:rsid w:val="00850053"/>
    <w:rsid w:val="00854660"/>
    <w:rsid w:val="00864BC1"/>
    <w:rsid w:val="00873054"/>
    <w:rsid w:val="00880F8A"/>
    <w:rsid w:val="00881CF6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6B1D"/>
    <w:rsid w:val="009369E3"/>
    <w:rsid w:val="00941704"/>
    <w:rsid w:val="00945964"/>
    <w:rsid w:val="0095209B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E3B23"/>
    <w:rsid w:val="009F1345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715D8"/>
    <w:rsid w:val="00A733EA"/>
    <w:rsid w:val="00A75B04"/>
    <w:rsid w:val="00A82071"/>
    <w:rsid w:val="00A863D8"/>
    <w:rsid w:val="00A87C5F"/>
    <w:rsid w:val="00A934CE"/>
    <w:rsid w:val="00A9372B"/>
    <w:rsid w:val="00AA52E6"/>
    <w:rsid w:val="00AA5688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A2167"/>
    <w:rsid w:val="00CB4B48"/>
    <w:rsid w:val="00CC2E3F"/>
    <w:rsid w:val="00CC334D"/>
    <w:rsid w:val="00CC69F8"/>
    <w:rsid w:val="00CC78F6"/>
    <w:rsid w:val="00CF2F38"/>
    <w:rsid w:val="00CF7F47"/>
    <w:rsid w:val="00D35DD4"/>
    <w:rsid w:val="00D412E9"/>
    <w:rsid w:val="00D5129A"/>
    <w:rsid w:val="00D61DFF"/>
    <w:rsid w:val="00D87B19"/>
    <w:rsid w:val="00D9578A"/>
    <w:rsid w:val="00DE6FC8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54B80"/>
    <w:rsid w:val="00E658F9"/>
    <w:rsid w:val="00E73E43"/>
    <w:rsid w:val="00E7742A"/>
    <w:rsid w:val="00E90D6B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6070"/>
  <w15:docId w15:val="{934D6629-1E1C-4EC7-99CB-62CECFF3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i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user</cp:lastModifiedBy>
  <cp:revision>2</cp:revision>
  <dcterms:created xsi:type="dcterms:W3CDTF">2025-04-11T10:00:00Z</dcterms:created>
  <dcterms:modified xsi:type="dcterms:W3CDTF">2025-04-11T10:00:00Z</dcterms:modified>
</cp:coreProperties>
</file>