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EE" w:rsidRPr="006734EE" w:rsidRDefault="006734EE" w:rsidP="006734EE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734EE" w:rsidRPr="006734EE" w:rsidRDefault="006734EE" w:rsidP="006734E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6734EE" w:rsidRPr="006734EE" w:rsidRDefault="006734EE" w:rsidP="006734E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b/>
          <w:sz w:val="24"/>
          <w:szCs w:val="24"/>
        </w:rPr>
        <w:t>"Развитие транспортной системы Республики Тыва"</w:t>
      </w:r>
    </w:p>
    <w:p w:rsidR="006734EE" w:rsidRPr="006734EE" w:rsidRDefault="006734EE" w:rsidP="006734E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6734EE" w:rsidRPr="006734EE" w:rsidRDefault="006734EE" w:rsidP="006734E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4EE" w:rsidRPr="006734EE" w:rsidRDefault="006734EE" w:rsidP="006734E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4EE">
        <w:rPr>
          <w:rFonts w:ascii="Times New Roman" w:hAnsi="Times New Roman" w:cs="Times New Roman"/>
          <w:sz w:val="24"/>
          <w:szCs w:val="24"/>
        </w:rPr>
        <w:t xml:space="preserve">(паспорт в ред. </w:t>
      </w:r>
      <w:hyperlink r:id="rId5">
        <w:r w:rsidRPr="006734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734EE">
        <w:rPr>
          <w:rFonts w:ascii="Times New Roman" w:hAnsi="Times New Roman" w:cs="Times New Roman"/>
          <w:sz w:val="24"/>
          <w:szCs w:val="24"/>
        </w:rPr>
        <w:t xml:space="preserve"> Правительства РТ</w:t>
      </w:r>
      <w:proofErr w:type="gramEnd"/>
    </w:p>
    <w:p w:rsidR="006734EE" w:rsidRPr="006734EE" w:rsidRDefault="006734EE" w:rsidP="006734E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от 10.04.2024 N 164)</w:t>
      </w:r>
    </w:p>
    <w:p w:rsidR="006734EE" w:rsidRPr="006734EE" w:rsidRDefault="006734EE" w:rsidP="006734EE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Республики Тыва Донских В.А.</w:t>
            </w:r>
          </w:p>
        </w:tc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Министерство дорожно-транспортного комплекса Республики Тыва</w:t>
            </w:r>
          </w:p>
        </w:tc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Соисполнитель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Тыва, Министерство земельных и имущественных отношений Республики Тыва, Министерство образования Республики Тыва, Министерство внутренних дел по Республике Тыва (по согласованию), ФКУ "</w:t>
            </w:r>
            <w:proofErr w:type="spellStart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Упрдор</w:t>
            </w:r>
            <w:proofErr w:type="spellEnd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"Енисей" (по согласованию), ГКУ Республики Тыва "Управление автомобильных дорог Республики Тыва", ГУП Республики Тыва "Центр организации дорожного движения", РКП "АК "</w:t>
            </w:r>
            <w:proofErr w:type="spellStart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ТуваАвиа</w:t>
            </w:r>
            <w:proofErr w:type="spellEnd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", ООО "</w:t>
            </w:r>
            <w:proofErr w:type="spellStart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Туваавтотранс</w:t>
            </w:r>
            <w:proofErr w:type="spellEnd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" (по согласованию), органы местного самоуправления (по согласованию)</w:t>
            </w:r>
            <w:proofErr w:type="gramEnd"/>
          </w:p>
        </w:tc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2024 - 2030 годы, без деления на этапы</w:t>
            </w:r>
          </w:p>
        </w:tc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1) развитие и совершенствование сети автомобильных дорог общего пользования Республики Тыва;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2) создание условий для устойчивого и безопасного функционирования транспортного комплекса;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3) удовлетворение потребности в транспортных услугах населения и отраслей;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4) комплексное развитие транспорта Республики Тыва для полного и эффективного удовлетворения потребностей населения и экономики Республики Тыва в транспортных услугах;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5) сокращение на территории Республики Тыва количества лиц, погибших в результате дорожно-транспортных происшествий (далее - ДТП);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6) снижение уровня ДТП с пострадавшими на автодорогах федерального, регионального и межмуниципального значения</w:t>
            </w:r>
          </w:p>
        </w:tc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"Автомобильные дороги и дорожное хозяйство";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"Транспорт";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безопасности дорожного движения"</w:t>
            </w:r>
          </w:p>
        </w:tc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- 86596985,8 тыс. рублей, в том числе по годам: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- 2684816,20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2025 г. - 4468187,20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- 4052635,50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- 70422866,59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- 1550657,66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- 1652911,02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- 1764911,63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- 3670030,40 тыс. рублей, в том числе по годам: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- 590825,2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2025 г. - 1718890,90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- 1360314,30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- 29952846,78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- 2093991,00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2025 г. - 2749296,30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- 2692321,20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- 17448757,97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- 1550657,66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- 1652911,02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- 1764911,63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- 52974108,62 тыс. рублей, в том числе по годам: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2025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- 52974108,62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- 0 тыс. рублей.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9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1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"Автомобильные дороги и дорожное хозяйство" составляет 82897948,30 тыс. рублей, в том числе по годам: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- 2214410,20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2025 г. - 4036003,90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- 3702827,30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- 69822967,59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- 943123,66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- 1037436,02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- 1141179,63 тыс. рублей.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0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2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"Транспорт" составляет 2187269,50 тыс. рублей, в том числе по годам: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- 268837,00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2025 г. - 180222,30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- 97846,20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- 398330,0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- 405965,0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- 413906,0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- 422163,0 тыс. рублей.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hyperlink r:id="rId11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3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безопасности дорожного движения" составляет 1511768,00 тыс. рублей, в том числе по годам: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2024 г. - 201569,00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2025 г. - 251961,00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2026 г. - 251962,00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2027 г. - 201569,0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2028 г. - 201569,0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2029 г. - 201569,0 тыс. рублей;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в 2030 г. - 201569,0 тыс. рублей.</w:t>
            </w:r>
          </w:p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  <w:bookmarkStart w:id="0" w:name="_GoBack"/>
        <w:bookmarkEnd w:id="0"/>
      </w:tr>
      <w:tr w:rsidR="006734EE" w:rsidRPr="00EA09C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734EE" w:rsidRPr="00EA09CB" w:rsidRDefault="006734EE" w:rsidP="00EA09C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в соответствии с целями и задачами, установленными </w:t>
            </w:r>
            <w:hyperlink r:id="rId12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национальным </w:t>
            </w:r>
            <w:hyperlink r:id="rId13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проектом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"Безопасные и качественные автомобильные дороги", </w:t>
            </w:r>
            <w:hyperlink r:id="rId14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27 ноября 2021 г. N 3363-р "О Транспортной стратегии Российской Федерации до 2030 года с</w:t>
            </w:r>
            <w:proofErr w:type="gramEnd"/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прогнозом на период до 2035 года", </w:t>
            </w:r>
            <w:hyperlink r:id="rId15">
              <w:r w:rsidRPr="00EA09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EA09C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8 января 2018 г. N 1-р "Об утверждении Стратегии безопасности дорожного движения в Российской Федерации на 2018 - 2024 годы";</w:t>
            </w:r>
          </w:p>
        </w:tc>
      </w:tr>
    </w:tbl>
    <w:p w:rsidR="008F71D9" w:rsidRDefault="008F71D9"/>
    <w:sectPr w:rsidR="008F71D9" w:rsidSect="0031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97"/>
    <w:rsid w:val="006734EE"/>
    <w:rsid w:val="008F71D9"/>
    <w:rsid w:val="00E11B97"/>
    <w:rsid w:val="00EA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81&amp;dst=100131" TargetMode="External"/><Relationship Id="rId13" Type="http://schemas.openxmlformats.org/officeDocument/2006/relationships/hyperlink" Target="https://login.consultant.ru/link/?req=doc&amp;base=LAW&amp;n=399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281&amp;dst=100079" TargetMode="External"/><Relationship Id="rId12" Type="http://schemas.openxmlformats.org/officeDocument/2006/relationships/hyperlink" Target="https://login.consultant.ru/link/?req=doc&amp;base=LAW&amp;n=35802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81&amp;dst=100065" TargetMode="External"/><Relationship Id="rId11" Type="http://schemas.openxmlformats.org/officeDocument/2006/relationships/hyperlink" Target="https://login.consultant.ru/link/?req=doc&amp;base=RLAW434&amp;n=42281&amp;dst=100131" TargetMode="External"/><Relationship Id="rId5" Type="http://schemas.openxmlformats.org/officeDocument/2006/relationships/hyperlink" Target="https://login.consultant.ru/link/?req=doc&amp;base=RLAW434&amp;n=42274&amp;dst=100006" TargetMode="External"/><Relationship Id="rId15" Type="http://schemas.openxmlformats.org/officeDocument/2006/relationships/hyperlink" Target="https://login.consultant.ru/link/?req=doc&amp;base=LAW&amp;n=288413&amp;dst=100007" TargetMode="External"/><Relationship Id="rId10" Type="http://schemas.openxmlformats.org/officeDocument/2006/relationships/hyperlink" Target="https://login.consultant.ru/link/?req=doc&amp;base=RLAW434&amp;n=42281&amp;dst=100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81&amp;dst=100065" TargetMode="External"/><Relationship Id="rId14" Type="http://schemas.openxmlformats.org/officeDocument/2006/relationships/hyperlink" Target="https://login.consultant.ru/link/?req=doc&amp;base=LAW&amp;n=40205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3</cp:revision>
  <dcterms:created xsi:type="dcterms:W3CDTF">2024-09-13T05:42:00Z</dcterms:created>
  <dcterms:modified xsi:type="dcterms:W3CDTF">2024-09-13T05:44:00Z</dcterms:modified>
</cp:coreProperties>
</file>