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F03" w:rsidRPr="00F46F03" w:rsidRDefault="00F46F03" w:rsidP="00F46F03">
      <w:pPr>
        <w:shd w:val="clear" w:color="auto" w:fill="FFFFFF" w:themeFill="background1"/>
        <w:spacing w:after="0"/>
        <w:contextualSpacing/>
        <w:jc w:val="center"/>
        <w:outlineLvl w:val="0"/>
        <w:rPr>
          <w:b/>
          <w:bCs/>
        </w:rPr>
      </w:pPr>
      <w:bookmarkStart w:id="0" w:name="_GoBack"/>
      <w:bookmarkEnd w:id="0"/>
      <w:r w:rsidRPr="00F46F03">
        <w:rPr>
          <w:b/>
          <w:bCs/>
        </w:rPr>
        <w:t>Государственная программа «Обеспечение общественного порядка и противодействие преступности в Республике Тыва»</w:t>
      </w:r>
    </w:p>
    <w:p w:rsidR="00F46F03" w:rsidRPr="00F46F03" w:rsidRDefault="00F46F03" w:rsidP="00F46F03">
      <w:pPr>
        <w:pStyle w:val="a6"/>
        <w:shd w:val="clear" w:color="auto" w:fill="FFFFFF" w:themeFill="background1"/>
        <w:suppressAutoHyphens/>
        <w:spacing w:after="0" w:line="240" w:lineRule="auto"/>
        <w:ind w:left="0" w:firstLine="709"/>
        <w:jc w:val="both"/>
        <w:rPr>
          <w:rFonts w:ascii="Times New Roman" w:hAnsi="Times New Roman" w:cs="Times New Roman"/>
          <w:bCs/>
          <w:sz w:val="24"/>
          <w:szCs w:val="24"/>
        </w:rPr>
      </w:pPr>
    </w:p>
    <w:p w:rsidR="00F46F03" w:rsidRPr="00F46F03" w:rsidRDefault="00F46F03" w:rsidP="00F46F03">
      <w:pPr>
        <w:pStyle w:val="a6"/>
        <w:shd w:val="clear" w:color="auto" w:fill="FFFFFF" w:themeFill="background1"/>
        <w:suppressAutoHyphens/>
        <w:spacing w:after="0" w:line="240" w:lineRule="auto"/>
        <w:ind w:left="0" w:firstLine="709"/>
        <w:jc w:val="both"/>
        <w:rPr>
          <w:rFonts w:ascii="Times New Roman" w:hAnsi="Times New Roman" w:cs="Times New Roman"/>
          <w:bCs/>
          <w:sz w:val="24"/>
          <w:szCs w:val="24"/>
        </w:rPr>
      </w:pPr>
      <w:r w:rsidRPr="00F46F03">
        <w:rPr>
          <w:rFonts w:ascii="Times New Roman" w:hAnsi="Times New Roman" w:cs="Times New Roman"/>
          <w:bCs/>
          <w:sz w:val="24"/>
          <w:szCs w:val="24"/>
        </w:rPr>
        <w:t>Государственная программа «Обеспечение общественного порядка и противодействие преступности в Республике Тыва» утверждена постановлением Правительства Республики Тыва от 9 ноября 2023 года № 820. Государственный заказчик-координатор Программы –</w:t>
      </w:r>
      <w:r w:rsidRPr="00F46F03">
        <w:rPr>
          <w:sz w:val="24"/>
          <w:szCs w:val="24"/>
        </w:rPr>
        <w:t xml:space="preserve"> </w:t>
      </w:r>
      <w:r w:rsidRPr="00F46F03">
        <w:rPr>
          <w:rFonts w:ascii="Times New Roman" w:hAnsi="Times New Roman" w:cs="Times New Roman"/>
          <w:bCs/>
          <w:sz w:val="24"/>
          <w:szCs w:val="24"/>
        </w:rPr>
        <w:t>Департамент региональной безопасности АГ РТ и АП РТ.</w:t>
      </w:r>
    </w:p>
    <w:p w:rsidR="00F46F03" w:rsidRPr="00297E75" w:rsidRDefault="00F46F03" w:rsidP="00F46F03">
      <w:pPr>
        <w:ind w:firstLine="708"/>
        <w:jc w:val="both"/>
        <w:rPr>
          <w:b/>
          <w:bCs/>
          <w:color w:val="000000"/>
        </w:rPr>
      </w:pPr>
      <w:r w:rsidRPr="00F46F03">
        <w:rPr>
          <w:bCs/>
          <w:i/>
        </w:rPr>
        <w:t>Общий объем финансирования</w:t>
      </w:r>
      <w:r w:rsidRPr="00F46F03">
        <w:rPr>
          <w:bCs/>
        </w:rPr>
        <w:t xml:space="preserve"> Программы на 2024 год составляет из РБ – 9 163,00 тыс. рублей, профинансировано из РБ – 8 450,70 тыс. рублей (92,2 %)</w:t>
      </w:r>
    </w:p>
    <w:p w:rsidR="00F46F03" w:rsidRPr="00100827" w:rsidRDefault="00F46F03" w:rsidP="00F46F03">
      <w:pPr>
        <w:pStyle w:val="a6"/>
        <w:shd w:val="clear" w:color="auto" w:fill="FFFFFF" w:themeFill="background1"/>
        <w:suppressAutoHyphens/>
        <w:spacing w:after="0" w:line="240" w:lineRule="auto"/>
        <w:ind w:left="0"/>
        <w:jc w:val="both"/>
        <w:rPr>
          <w:rFonts w:ascii="Times New Roman" w:hAnsi="Times New Roman" w:cs="Times New Roman"/>
          <w:bCs/>
          <w:sz w:val="24"/>
          <w:szCs w:val="24"/>
          <w:highlight w:val="yellow"/>
        </w:rPr>
      </w:pPr>
      <w:r>
        <w:rPr>
          <w:bCs/>
          <w:noProof/>
          <w:lang w:eastAsia="ru-RU"/>
        </w:rPr>
        <w:drawing>
          <wp:inline distT="0" distB="0" distL="0" distR="0" wp14:anchorId="55912705" wp14:editId="3C92CACD">
            <wp:extent cx="6469380" cy="1854679"/>
            <wp:effectExtent l="0" t="0" r="26670" b="12700"/>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F46F03" w:rsidRPr="00100827" w:rsidRDefault="00F46F03" w:rsidP="00F46F03">
      <w:pPr>
        <w:pStyle w:val="a6"/>
        <w:shd w:val="clear" w:color="auto" w:fill="FFFFFF" w:themeFill="background1"/>
        <w:suppressAutoHyphens/>
        <w:spacing w:after="0" w:line="240" w:lineRule="auto"/>
        <w:ind w:left="0"/>
        <w:jc w:val="center"/>
        <w:rPr>
          <w:rFonts w:ascii="Times New Roman" w:hAnsi="Times New Roman" w:cs="Times New Roman"/>
          <w:b/>
          <w:sz w:val="24"/>
          <w:szCs w:val="24"/>
          <w:highlight w:val="yellow"/>
        </w:rPr>
      </w:pPr>
    </w:p>
    <w:p w:rsidR="00F46F03" w:rsidRPr="00743FC5" w:rsidRDefault="00F46F03" w:rsidP="00F46F03">
      <w:pPr>
        <w:pStyle w:val="a6"/>
        <w:shd w:val="clear" w:color="auto" w:fill="FFFFFF" w:themeFill="background1"/>
        <w:suppressAutoHyphens/>
        <w:spacing w:after="0" w:line="240" w:lineRule="auto"/>
        <w:ind w:left="0"/>
        <w:jc w:val="center"/>
        <w:rPr>
          <w:rFonts w:ascii="Times New Roman" w:hAnsi="Times New Roman" w:cs="Times New Roman"/>
          <w:b/>
          <w:color w:val="FF0000"/>
          <w:sz w:val="24"/>
          <w:szCs w:val="24"/>
        </w:rPr>
      </w:pPr>
      <w:r w:rsidRPr="00743FC5">
        <w:rPr>
          <w:rFonts w:ascii="Times New Roman" w:hAnsi="Times New Roman" w:cs="Times New Roman"/>
          <w:b/>
          <w:color w:val="FF0000"/>
          <w:sz w:val="24"/>
          <w:szCs w:val="24"/>
        </w:rPr>
        <w:t>Результаты реализации Программы за 2024 год:</w:t>
      </w:r>
    </w:p>
    <w:p w:rsidR="00F46F03" w:rsidRDefault="00F46F03" w:rsidP="00F46F03">
      <w:pPr>
        <w:pStyle w:val="a6"/>
        <w:shd w:val="clear" w:color="auto" w:fill="FFFFFF" w:themeFill="background1"/>
        <w:suppressAutoHyphens/>
        <w:spacing w:after="0" w:line="240" w:lineRule="auto"/>
        <w:ind w:left="0" w:firstLine="709"/>
        <w:jc w:val="both"/>
        <w:rPr>
          <w:rFonts w:ascii="Times New Roman" w:hAnsi="Times New Roman" w:cs="Times New Roman"/>
          <w:sz w:val="24"/>
          <w:szCs w:val="24"/>
        </w:rPr>
      </w:pPr>
      <w:proofErr w:type="gramStart"/>
      <w:r w:rsidRPr="000350B0">
        <w:rPr>
          <w:rFonts w:ascii="Times New Roman" w:hAnsi="Times New Roman" w:cs="Times New Roman"/>
          <w:sz w:val="24"/>
          <w:szCs w:val="24"/>
        </w:rPr>
        <w:t xml:space="preserve">Департаментом региональной безопасности Администрации Главы Республики Тыва и Аппарата Правительства Республики Тыва 15 ноября 2023 года на уровне заместителя Председателя Правительства Республики Тыва В.М. </w:t>
      </w:r>
      <w:proofErr w:type="spellStart"/>
      <w:r w:rsidRPr="000350B0">
        <w:rPr>
          <w:rFonts w:ascii="Times New Roman" w:hAnsi="Times New Roman" w:cs="Times New Roman"/>
          <w:sz w:val="24"/>
          <w:szCs w:val="24"/>
        </w:rPr>
        <w:t>Бартына</w:t>
      </w:r>
      <w:proofErr w:type="spellEnd"/>
      <w:r w:rsidRPr="000350B0">
        <w:rPr>
          <w:rFonts w:ascii="Times New Roman" w:hAnsi="Times New Roman" w:cs="Times New Roman"/>
          <w:sz w:val="24"/>
          <w:szCs w:val="24"/>
        </w:rPr>
        <w:t>-Сады проведено заседание Республиканского штаба по координации деятельности народных дружин в Республике Тыва, по результатам которого утвержден список в количестве 135 членов народных дружин, зарегистрированных в региональном реестре республики, на материальное поощрение.</w:t>
      </w:r>
      <w:proofErr w:type="gramEnd"/>
      <w:r w:rsidRPr="000350B0">
        <w:rPr>
          <w:rFonts w:ascii="Times New Roman" w:hAnsi="Times New Roman" w:cs="Times New Roman"/>
          <w:sz w:val="24"/>
          <w:szCs w:val="24"/>
        </w:rPr>
        <w:t xml:space="preserve">  Выплата материального стимулирования осуществлена на сумму 1000 тыс. рублей.</w:t>
      </w:r>
    </w:p>
    <w:p w:rsidR="00F46F03" w:rsidRPr="000350B0" w:rsidRDefault="00F46F03" w:rsidP="00F46F03">
      <w:pPr>
        <w:pStyle w:val="a6"/>
        <w:shd w:val="clear" w:color="auto" w:fill="FFFFFF" w:themeFill="background1"/>
        <w:suppressAutoHyphens/>
        <w:spacing w:after="0" w:line="240" w:lineRule="auto"/>
        <w:ind w:left="0" w:firstLine="709"/>
        <w:jc w:val="both"/>
        <w:rPr>
          <w:rFonts w:ascii="Times New Roman" w:hAnsi="Times New Roman" w:cs="Times New Roman"/>
          <w:sz w:val="24"/>
          <w:szCs w:val="24"/>
        </w:rPr>
      </w:pPr>
      <w:r w:rsidRPr="000350B0">
        <w:rPr>
          <w:rFonts w:ascii="Times New Roman" w:hAnsi="Times New Roman" w:cs="Times New Roman"/>
          <w:sz w:val="24"/>
          <w:szCs w:val="24"/>
        </w:rPr>
        <w:t>На основании протокола подведения итогов электронного аукциона № ИЭА</w:t>
      </w:r>
      <w:proofErr w:type="gramStart"/>
      <w:r w:rsidRPr="000350B0">
        <w:rPr>
          <w:rFonts w:ascii="Times New Roman" w:hAnsi="Times New Roman" w:cs="Times New Roman"/>
          <w:sz w:val="24"/>
          <w:szCs w:val="24"/>
        </w:rPr>
        <w:t>1</w:t>
      </w:r>
      <w:proofErr w:type="gramEnd"/>
      <w:r w:rsidRPr="000350B0">
        <w:rPr>
          <w:rFonts w:ascii="Times New Roman" w:hAnsi="Times New Roman" w:cs="Times New Roman"/>
          <w:sz w:val="24"/>
          <w:szCs w:val="24"/>
        </w:rPr>
        <w:t xml:space="preserve"> от «30» ноября 2023 г.  между Администрацией и ООО «Страховая компания «Гранта» заключен государственный контракт № 2023.03962 ИКЗ 232170105126017010100100580016512244 от 11 декабря 2023 года (далее – </w:t>
      </w:r>
      <w:proofErr w:type="spellStart"/>
      <w:r w:rsidRPr="000350B0">
        <w:rPr>
          <w:rFonts w:ascii="Times New Roman" w:hAnsi="Times New Roman" w:cs="Times New Roman"/>
          <w:sz w:val="24"/>
          <w:szCs w:val="24"/>
        </w:rPr>
        <w:t>госконтракт</w:t>
      </w:r>
      <w:proofErr w:type="spellEnd"/>
      <w:r w:rsidRPr="000350B0">
        <w:rPr>
          <w:rFonts w:ascii="Times New Roman" w:hAnsi="Times New Roman" w:cs="Times New Roman"/>
          <w:sz w:val="24"/>
          <w:szCs w:val="24"/>
        </w:rPr>
        <w:t xml:space="preserve">) на оказание услуг по личному страхованию народных дружинников, являющихся членами народной дружины и участвующих в ее составе в охране общественного порядка на территории Республики Тыва на 2023 год на общую сумму в размере 125 756,62 рублей. Согласно списку народных дружинников республики в количестве 1760 направлены на страхование. </w:t>
      </w:r>
    </w:p>
    <w:p w:rsidR="00F46F03" w:rsidRPr="000350B0" w:rsidRDefault="00F46F03" w:rsidP="00F46F03">
      <w:pPr>
        <w:pStyle w:val="a6"/>
        <w:shd w:val="clear" w:color="auto" w:fill="FFFFFF" w:themeFill="background1"/>
        <w:suppressAutoHyphens/>
        <w:spacing w:after="0" w:line="240" w:lineRule="auto"/>
        <w:ind w:left="0" w:firstLine="709"/>
        <w:jc w:val="both"/>
        <w:rPr>
          <w:rFonts w:ascii="Times New Roman" w:hAnsi="Times New Roman" w:cs="Times New Roman"/>
          <w:sz w:val="24"/>
          <w:szCs w:val="24"/>
        </w:rPr>
      </w:pPr>
      <w:r w:rsidRPr="000350B0">
        <w:rPr>
          <w:rFonts w:ascii="Times New Roman" w:hAnsi="Times New Roman" w:cs="Times New Roman"/>
          <w:sz w:val="24"/>
          <w:szCs w:val="24"/>
        </w:rPr>
        <w:t xml:space="preserve">Однако, несмотря на направленную заявку на финансирование от 27 декабря 2023 года, Министерством финансов Республики Тыва по 29 декабря 2023 года не были профинансированы указанные финансовые средства, что является не освоением бюджетных средств. </w:t>
      </w:r>
    </w:p>
    <w:p w:rsidR="00F46F03" w:rsidRDefault="00F46F03" w:rsidP="00F46F03">
      <w:pPr>
        <w:pStyle w:val="a6"/>
        <w:shd w:val="clear" w:color="auto" w:fill="FFFFFF" w:themeFill="background1"/>
        <w:suppressAutoHyphens/>
        <w:spacing w:after="0" w:line="240" w:lineRule="auto"/>
        <w:ind w:left="0" w:firstLine="709"/>
        <w:jc w:val="both"/>
        <w:rPr>
          <w:rFonts w:ascii="Times New Roman" w:hAnsi="Times New Roman" w:cs="Times New Roman"/>
          <w:sz w:val="24"/>
          <w:szCs w:val="24"/>
        </w:rPr>
      </w:pPr>
      <w:r w:rsidRPr="000350B0">
        <w:rPr>
          <w:rFonts w:ascii="Times New Roman" w:hAnsi="Times New Roman" w:cs="Times New Roman"/>
          <w:sz w:val="24"/>
          <w:szCs w:val="24"/>
        </w:rPr>
        <w:t xml:space="preserve">В </w:t>
      </w:r>
      <w:proofErr w:type="spellStart"/>
      <w:r w:rsidRPr="000350B0">
        <w:rPr>
          <w:rFonts w:ascii="Times New Roman" w:hAnsi="Times New Roman" w:cs="Times New Roman"/>
          <w:sz w:val="24"/>
          <w:szCs w:val="24"/>
        </w:rPr>
        <w:t>Госкомохотнадзор</w:t>
      </w:r>
      <w:proofErr w:type="spellEnd"/>
      <w:r w:rsidRPr="000350B0">
        <w:rPr>
          <w:rFonts w:ascii="Times New Roman" w:hAnsi="Times New Roman" w:cs="Times New Roman"/>
          <w:sz w:val="24"/>
          <w:szCs w:val="24"/>
        </w:rPr>
        <w:t xml:space="preserve"> Республики Тыва от МВД по Республике Тыва поступило 17 материалов по добровольной сдаче огнестрельного оружия, боеприпасов, взрывчатых веществ и взрывных устройств, незаконно хранящихся у населения на общую сумму 291</w:t>
      </w:r>
      <w:r>
        <w:rPr>
          <w:rFonts w:ascii="Times New Roman" w:hAnsi="Times New Roman" w:cs="Times New Roman"/>
          <w:sz w:val="24"/>
          <w:szCs w:val="24"/>
        </w:rPr>
        <w:t xml:space="preserve"> </w:t>
      </w:r>
      <w:r w:rsidRPr="000350B0">
        <w:rPr>
          <w:rFonts w:ascii="Times New Roman" w:hAnsi="Times New Roman" w:cs="Times New Roman"/>
          <w:sz w:val="24"/>
          <w:szCs w:val="24"/>
        </w:rPr>
        <w:t>080,0 рублей, из которых выплачено вознаграждение в сумме 291080,0 рублей. Исполнение 97% от утвержденного плана (300,2 тыс.</w:t>
      </w:r>
      <w:r>
        <w:rPr>
          <w:rFonts w:ascii="Times New Roman" w:hAnsi="Times New Roman" w:cs="Times New Roman"/>
          <w:sz w:val="24"/>
          <w:szCs w:val="24"/>
        </w:rPr>
        <w:t xml:space="preserve"> </w:t>
      </w:r>
      <w:r w:rsidRPr="000350B0">
        <w:rPr>
          <w:rFonts w:ascii="Times New Roman" w:hAnsi="Times New Roman" w:cs="Times New Roman"/>
          <w:sz w:val="24"/>
          <w:szCs w:val="24"/>
        </w:rPr>
        <w:t>рублей). Общее количество добровольно сданного на возмездной основе оружия, боеприпасов и взрывных устройств – 131 шт., из них нарезного оружия – 12 шт., гладкоствольного оружия – 11 шт., боеприпасов – 108 шт. патрона.</w:t>
      </w:r>
    </w:p>
    <w:p w:rsidR="00F46F03" w:rsidRDefault="00F46F03" w:rsidP="00F46F03">
      <w:pPr>
        <w:pStyle w:val="a6"/>
        <w:shd w:val="clear" w:color="auto" w:fill="FFFFFF" w:themeFill="background1"/>
        <w:suppressAutoHyphens/>
        <w:spacing w:after="0" w:line="240" w:lineRule="auto"/>
        <w:ind w:left="0" w:firstLine="709"/>
        <w:jc w:val="both"/>
        <w:rPr>
          <w:rFonts w:ascii="Times New Roman" w:hAnsi="Times New Roman" w:cs="Times New Roman"/>
          <w:sz w:val="24"/>
          <w:szCs w:val="24"/>
        </w:rPr>
      </w:pPr>
      <w:proofErr w:type="gramStart"/>
      <w:r w:rsidRPr="000350B0">
        <w:rPr>
          <w:rFonts w:ascii="Times New Roman" w:hAnsi="Times New Roman" w:cs="Times New Roman"/>
          <w:sz w:val="24"/>
          <w:szCs w:val="24"/>
        </w:rPr>
        <w:lastRenderedPageBreak/>
        <w:t xml:space="preserve">Заключен </w:t>
      </w:r>
      <w:proofErr w:type="spellStart"/>
      <w:r w:rsidRPr="000350B0">
        <w:rPr>
          <w:rFonts w:ascii="Times New Roman" w:hAnsi="Times New Roman" w:cs="Times New Roman"/>
          <w:sz w:val="24"/>
          <w:szCs w:val="24"/>
        </w:rPr>
        <w:t>госконтракт</w:t>
      </w:r>
      <w:proofErr w:type="spellEnd"/>
      <w:r w:rsidRPr="000350B0">
        <w:rPr>
          <w:rFonts w:ascii="Times New Roman" w:hAnsi="Times New Roman" w:cs="Times New Roman"/>
          <w:sz w:val="24"/>
          <w:szCs w:val="24"/>
        </w:rPr>
        <w:t xml:space="preserve"> № Ф.2023.10 от 10 апреля 2023г. с поставщиком на сумму 627 679,13 рублей. 29 апреля 2023 года получены приборы на данную сумму и 15 мая 2023 года согласно договору о передаче имущества и акта приема-передачи Анализаторы паров этанола «АЛКОТЕКТОР» в исполнении «Юпитер-К» в количестве 5 штук переданы в МВД по Республике Тыва</w:t>
      </w:r>
      <w:proofErr w:type="gramEnd"/>
    </w:p>
    <w:p w:rsidR="00F46F03" w:rsidRPr="000350B0" w:rsidRDefault="00F46F03" w:rsidP="00F46F03">
      <w:pPr>
        <w:pStyle w:val="a6"/>
        <w:shd w:val="clear" w:color="auto" w:fill="FFFFFF" w:themeFill="background1"/>
        <w:suppressAutoHyphens/>
        <w:spacing w:after="0" w:line="240" w:lineRule="auto"/>
        <w:ind w:left="0" w:firstLine="709"/>
        <w:jc w:val="both"/>
        <w:rPr>
          <w:rFonts w:ascii="Times New Roman" w:hAnsi="Times New Roman" w:cs="Times New Roman"/>
          <w:sz w:val="24"/>
          <w:szCs w:val="24"/>
        </w:rPr>
      </w:pPr>
      <w:r w:rsidRPr="000350B0">
        <w:rPr>
          <w:rFonts w:ascii="Times New Roman" w:hAnsi="Times New Roman" w:cs="Times New Roman"/>
          <w:sz w:val="24"/>
          <w:szCs w:val="24"/>
        </w:rPr>
        <w:t xml:space="preserve">За январь-декабрь 2023 года специалистами Республиканского наркологического диспансера организовано и размещено 916 статей (326) в интернете и социальных сетях, 21 телепередач (14), по радио – 7 выступлений (7), 2 (10) статья в газете. На телевидении, на сайте и </w:t>
      </w:r>
      <w:proofErr w:type="spellStart"/>
      <w:r w:rsidRPr="000350B0">
        <w:rPr>
          <w:rFonts w:ascii="Times New Roman" w:hAnsi="Times New Roman" w:cs="Times New Roman"/>
          <w:sz w:val="24"/>
          <w:szCs w:val="24"/>
        </w:rPr>
        <w:t>мессенджерах</w:t>
      </w:r>
      <w:proofErr w:type="spellEnd"/>
      <w:r w:rsidRPr="000350B0">
        <w:rPr>
          <w:rFonts w:ascii="Times New Roman" w:hAnsi="Times New Roman" w:cs="Times New Roman"/>
          <w:sz w:val="24"/>
          <w:szCs w:val="24"/>
        </w:rPr>
        <w:t xml:space="preserve"> транслируются 4 социальных видеоролика, выпущенных ГБУЗ РТ «</w:t>
      </w:r>
      <w:proofErr w:type="spellStart"/>
      <w:r w:rsidRPr="000350B0">
        <w:rPr>
          <w:rFonts w:ascii="Times New Roman" w:hAnsi="Times New Roman" w:cs="Times New Roman"/>
          <w:sz w:val="24"/>
          <w:szCs w:val="24"/>
        </w:rPr>
        <w:t>Реснаркодиспансером</w:t>
      </w:r>
      <w:proofErr w:type="spellEnd"/>
      <w:r w:rsidRPr="000350B0">
        <w:rPr>
          <w:rFonts w:ascii="Times New Roman" w:hAnsi="Times New Roman" w:cs="Times New Roman"/>
          <w:sz w:val="24"/>
          <w:szCs w:val="24"/>
        </w:rPr>
        <w:t xml:space="preserve">»: 1) Как не пропить Новый год, начните Новый год без алкоголя, 2) Пьянство разрушает вашу жизнь. Остановитесь! 3) «Начните новый год без скорой помощи! Всем здоровья и спортивных, здоровых каникул!», 4) «Не садитесь за руль после застолья! Сохраните жизнь себе и окружающим вас людям!».  5) «Не в традиции тувинского народа пить алкоголь». </w:t>
      </w:r>
      <w:proofErr w:type="gramStart"/>
      <w:r w:rsidRPr="000350B0">
        <w:rPr>
          <w:rFonts w:ascii="Times New Roman" w:hAnsi="Times New Roman" w:cs="Times New Roman"/>
          <w:sz w:val="24"/>
          <w:szCs w:val="24"/>
        </w:rPr>
        <w:t>Выпущены</w:t>
      </w:r>
      <w:proofErr w:type="gramEnd"/>
      <w:r w:rsidRPr="000350B0">
        <w:rPr>
          <w:rFonts w:ascii="Times New Roman" w:hAnsi="Times New Roman" w:cs="Times New Roman"/>
          <w:sz w:val="24"/>
          <w:szCs w:val="24"/>
        </w:rPr>
        <w:t xml:space="preserve"> 10 </w:t>
      </w:r>
      <w:proofErr w:type="spellStart"/>
      <w:r w:rsidRPr="000350B0">
        <w:rPr>
          <w:rFonts w:ascii="Times New Roman" w:hAnsi="Times New Roman" w:cs="Times New Roman"/>
          <w:sz w:val="24"/>
          <w:szCs w:val="24"/>
        </w:rPr>
        <w:t>видеообращений</w:t>
      </w:r>
      <w:proofErr w:type="spellEnd"/>
      <w:r w:rsidRPr="000350B0">
        <w:rPr>
          <w:rFonts w:ascii="Times New Roman" w:hAnsi="Times New Roman" w:cs="Times New Roman"/>
          <w:sz w:val="24"/>
          <w:szCs w:val="24"/>
        </w:rPr>
        <w:t xml:space="preserve"> (2) врачей наркологов</w:t>
      </w:r>
    </w:p>
    <w:p w:rsidR="00F46F03" w:rsidRPr="000350B0" w:rsidRDefault="00F46F03" w:rsidP="00F46F03">
      <w:pPr>
        <w:pStyle w:val="a6"/>
        <w:shd w:val="clear" w:color="auto" w:fill="FFFFFF" w:themeFill="background1"/>
        <w:suppressAutoHyphens/>
        <w:spacing w:after="0" w:line="240" w:lineRule="auto"/>
        <w:ind w:left="0" w:firstLine="709"/>
        <w:jc w:val="both"/>
        <w:rPr>
          <w:rFonts w:ascii="Times New Roman" w:hAnsi="Times New Roman" w:cs="Times New Roman"/>
          <w:sz w:val="24"/>
          <w:szCs w:val="24"/>
        </w:rPr>
      </w:pPr>
      <w:r w:rsidRPr="000350B0">
        <w:rPr>
          <w:rFonts w:ascii="Times New Roman" w:hAnsi="Times New Roman" w:cs="Times New Roman"/>
          <w:sz w:val="24"/>
          <w:szCs w:val="24"/>
        </w:rPr>
        <w:t xml:space="preserve">Кроме того, активно ведется работа в </w:t>
      </w:r>
      <w:proofErr w:type="spellStart"/>
      <w:r w:rsidRPr="000350B0">
        <w:rPr>
          <w:rFonts w:ascii="Times New Roman" w:hAnsi="Times New Roman" w:cs="Times New Roman"/>
          <w:sz w:val="24"/>
          <w:szCs w:val="24"/>
        </w:rPr>
        <w:t>интернет-ресурсах</w:t>
      </w:r>
      <w:proofErr w:type="spellEnd"/>
      <w:r w:rsidRPr="000350B0">
        <w:rPr>
          <w:rFonts w:ascii="Times New Roman" w:hAnsi="Times New Roman" w:cs="Times New Roman"/>
          <w:sz w:val="24"/>
          <w:szCs w:val="24"/>
        </w:rPr>
        <w:t xml:space="preserve"> и социальных сетях с целью донести необходимую информацию до населения, в особенности молодежи, которое активно пользуется интернетом. Действует официальный сайт ГБУЗ РТ «Республиканский наркологический диспансер» www.rndtuva.ru, а также активно используется официальная страница диспансера в социальной сети «</w:t>
      </w:r>
      <w:proofErr w:type="spellStart"/>
      <w:r w:rsidRPr="000350B0">
        <w:rPr>
          <w:rFonts w:ascii="Times New Roman" w:hAnsi="Times New Roman" w:cs="Times New Roman"/>
          <w:sz w:val="24"/>
          <w:szCs w:val="24"/>
        </w:rPr>
        <w:t>ВКонтакте</w:t>
      </w:r>
      <w:proofErr w:type="spellEnd"/>
      <w:r w:rsidRPr="000350B0">
        <w:rPr>
          <w:rFonts w:ascii="Times New Roman" w:hAnsi="Times New Roman" w:cs="Times New Roman"/>
          <w:sz w:val="24"/>
          <w:szCs w:val="24"/>
        </w:rPr>
        <w:t>». Всего на официальных сайтах и в различных страницах социальной сети «</w:t>
      </w:r>
      <w:proofErr w:type="spellStart"/>
      <w:r w:rsidRPr="000350B0">
        <w:rPr>
          <w:rFonts w:ascii="Times New Roman" w:hAnsi="Times New Roman" w:cs="Times New Roman"/>
          <w:sz w:val="24"/>
          <w:szCs w:val="24"/>
        </w:rPr>
        <w:t>ВКонтакте</w:t>
      </w:r>
      <w:proofErr w:type="spellEnd"/>
      <w:r w:rsidRPr="000350B0">
        <w:rPr>
          <w:rFonts w:ascii="Times New Roman" w:hAnsi="Times New Roman" w:cs="Times New Roman"/>
          <w:sz w:val="24"/>
          <w:szCs w:val="24"/>
        </w:rPr>
        <w:t>» размещено 916 материалов.</w:t>
      </w:r>
    </w:p>
    <w:p w:rsidR="00F46F03" w:rsidRPr="005C66A5" w:rsidRDefault="00F46F03" w:rsidP="00F46F03">
      <w:pPr>
        <w:pBdr>
          <w:top w:val="single" w:sz="4" w:space="1" w:color="FFFFFF"/>
          <w:left w:val="single" w:sz="4" w:space="0" w:color="FFFFFF"/>
          <w:bottom w:val="single" w:sz="4" w:space="31" w:color="FFFFFF"/>
          <w:right w:val="single" w:sz="4" w:space="12" w:color="FFFFFF"/>
        </w:pBdr>
        <w:spacing w:after="0"/>
        <w:ind w:firstLine="567"/>
        <w:jc w:val="both"/>
        <w:rPr>
          <w:rFonts w:eastAsiaTheme="minorHAnsi"/>
          <w:lang w:eastAsia="en-US"/>
        </w:rPr>
      </w:pPr>
      <w:proofErr w:type="gramStart"/>
      <w:r w:rsidRPr="005C66A5">
        <w:rPr>
          <w:rFonts w:eastAsiaTheme="minorHAnsi"/>
          <w:lang w:eastAsia="en-US"/>
        </w:rPr>
        <w:t>Мероприятия оперативно-профилактической акции «Сообщи, где торгуют смертью» согласно графику МВД по РТ проведены с 13 по 24 марта 2023 г. профилактические лекции, информационно-разъяснительная я работа с привлечением сотрудников УНК МВД России по Республике Тыва, СУ СК по РТ, направленные на повышение уровня информированности о методах, способах и признаках вовлечения в незаконное потребление наркотических средств и психотропных веществ, а также о</w:t>
      </w:r>
      <w:proofErr w:type="gramEnd"/>
      <w:r w:rsidRPr="005C66A5">
        <w:rPr>
          <w:rFonts w:eastAsiaTheme="minorHAnsi"/>
          <w:lang w:eastAsia="en-US"/>
        </w:rPr>
        <w:t xml:space="preserve"> </w:t>
      </w:r>
      <w:proofErr w:type="gramStart"/>
      <w:r w:rsidRPr="005C66A5">
        <w:rPr>
          <w:rFonts w:eastAsiaTheme="minorHAnsi"/>
          <w:lang w:eastAsia="en-US"/>
        </w:rPr>
        <w:t>последствиях</w:t>
      </w:r>
      <w:proofErr w:type="gramEnd"/>
      <w:r w:rsidRPr="005C66A5">
        <w:rPr>
          <w:rFonts w:eastAsiaTheme="minorHAnsi"/>
          <w:lang w:eastAsia="en-US"/>
        </w:rPr>
        <w:t xml:space="preserve"> потребления наркотиков и об ответственности за участие в их незаконном обороте. В соответствии с Законом Республики Тыва от 15 декабря 2022 г. № 887-ЗРТ «О республиканском бюджете Республики Тыва на 2023 год и на плановый период 2024 и 2025 годов» финансовые средства переданы в Министерство образования РТ.</w:t>
      </w:r>
    </w:p>
    <w:p w:rsidR="00F46F03" w:rsidRPr="005C66A5" w:rsidRDefault="00F46F03" w:rsidP="00F46F03">
      <w:pPr>
        <w:pBdr>
          <w:top w:val="single" w:sz="4" w:space="1" w:color="FFFFFF"/>
          <w:left w:val="single" w:sz="4" w:space="0" w:color="FFFFFF"/>
          <w:bottom w:val="single" w:sz="4" w:space="31" w:color="FFFFFF"/>
          <w:right w:val="single" w:sz="4" w:space="12" w:color="FFFFFF"/>
        </w:pBdr>
        <w:spacing w:after="0"/>
        <w:ind w:firstLine="567"/>
        <w:jc w:val="both"/>
        <w:rPr>
          <w:rFonts w:eastAsiaTheme="minorHAnsi"/>
          <w:lang w:eastAsia="en-US"/>
        </w:rPr>
      </w:pPr>
      <w:r w:rsidRPr="005C66A5">
        <w:rPr>
          <w:rFonts w:eastAsiaTheme="minorHAnsi"/>
          <w:lang w:eastAsia="en-US"/>
        </w:rPr>
        <w:t xml:space="preserve">Проведены тренинги в рамках «Школы добровольца», направленные на </w:t>
      </w:r>
      <w:proofErr w:type="spellStart"/>
      <w:r w:rsidRPr="005C66A5">
        <w:rPr>
          <w:rFonts w:eastAsiaTheme="minorHAnsi"/>
          <w:lang w:eastAsia="en-US"/>
        </w:rPr>
        <w:t>командообразование</w:t>
      </w:r>
      <w:proofErr w:type="spellEnd"/>
      <w:r w:rsidRPr="005C66A5">
        <w:rPr>
          <w:rFonts w:eastAsiaTheme="minorHAnsi"/>
          <w:lang w:eastAsia="en-US"/>
        </w:rPr>
        <w:t>, мотивирование на успех и повышению стрессоустойчивости.</w:t>
      </w:r>
    </w:p>
    <w:p w:rsidR="00F46F03" w:rsidRPr="005C66A5" w:rsidRDefault="00F46F03" w:rsidP="00F46F03">
      <w:pPr>
        <w:pBdr>
          <w:top w:val="single" w:sz="4" w:space="1" w:color="FFFFFF"/>
          <w:left w:val="single" w:sz="4" w:space="0" w:color="FFFFFF"/>
          <w:bottom w:val="single" w:sz="4" w:space="31" w:color="FFFFFF"/>
          <w:right w:val="single" w:sz="4" w:space="12" w:color="FFFFFF"/>
        </w:pBdr>
        <w:spacing w:after="0"/>
        <w:ind w:firstLine="567"/>
        <w:jc w:val="both"/>
        <w:rPr>
          <w:rFonts w:eastAsiaTheme="minorHAnsi"/>
          <w:lang w:eastAsia="en-US"/>
        </w:rPr>
      </w:pPr>
      <w:r w:rsidRPr="005C66A5">
        <w:rPr>
          <w:rFonts w:eastAsiaTheme="minorHAnsi"/>
          <w:lang w:eastAsia="en-US"/>
        </w:rPr>
        <w:t>Также сотрудниками УНК МВД России по Республике Тыва при участии специалистов ГБУЗ РТ «</w:t>
      </w:r>
      <w:proofErr w:type="spellStart"/>
      <w:r w:rsidRPr="005C66A5">
        <w:rPr>
          <w:rFonts w:eastAsiaTheme="minorHAnsi"/>
          <w:lang w:eastAsia="en-US"/>
        </w:rPr>
        <w:t>Реснаркодиспансер</w:t>
      </w:r>
      <w:proofErr w:type="spellEnd"/>
      <w:r w:rsidRPr="005C66A5">
        <w:rPr>
          <w:rFonts w:eastAsiaTheme="minorHAnsi"/>
          <w:lang w:eastAsia="en-US"/>
        </w:rPr>
        <w:t>» проведены встречи со студентами СПО на территории г. Кызыла. В рамках встречи разъяснены правовые аспекты потребления наркотиков и участия в их незаконном обороте, об административной и уголовной ответственности за совершение правонарушений и преступлений в сфере незаконного</w:t>
      </w:r>
      <w:r w:rsidRPr="005C66A5">
        <w:rPr>
          <w:rFonts w:eastAsiaTheme="minorHAnsi"/>
          <w:lang w:eastAsia="en-US"/>
        </w:rPr>
        <w:tab/>
        <w:t>оборота наркотиков. Врачами-наркологами разъяснено пагубное влияние наркотиков на организм человека и важность ведения здорового образа жизни. Специалистами ГБУ РЦПМСС «</w:t>
      </w:r>
      <w:proofErr w:type="spellStart"/>
      <w:r w:rsidRPr="005C66A5">
        <w:rPr>
          <w:rFonts w:eastAsiaTheme="minorHAnsi"/>
          <w:lang w:eastAsia="en-US"/>
        </w:rPr>
        <w:t>Сайзырал</w:t>
      </w:r>
      <w:proofErr w:type="spellEnd"/>
      <w:r w:rsidRPr="005C66A5">
        <w:rPr>
          <w:rFonts w:eastAsiaTheme="minorHAnsi"/>
          <w:lang w:eastAsia="en-US"/>
        </w:rPr>
        <w:t xml:space="preserve">» проведена информационно-разъяснительная я работа с распространением </w:t>
      </w:r>
      <w:proofErr w:type="spellStart"/>
      <w:r w:rsidRPr="005C66A5">
        <w:rPr>
          <w:rFonts w:eastAsiaTheme="minorHAnsi"/>
          <w:lang w:eastAsia="en-US"/>
        </w:rPr>
        <w:t>инфографик</w:t>
      </w:r>
      <w:proofErr w:type="spellEnd"/>
      <w:r w:rsidRPr="005C66A5">
        <w:rPr>
          <w:rFonts w:eastAsiaTheme="minorHAnsi"/>
          <w:lang w:eastAsia="en-US"/>
        </w:rPr>
        <w:t xml:space="preserve">, листовок, буклетов и памяток, 800 экз. на территории </w:t>
      </w:r>
      <w:proofErr w:type="spellStart"/>
      <w:r w:rsidRPr="005C66A5">
        <w:rPr>
          <w:rFonts w:eastAsiaTheme="minorHAnsi"/>
          <w:lang w:eastAsia="en-US"/>
        </w:rPr>
        <w:t>г</w:t>
      </w:r>
      <w:proofErr w:type="gramStart"/>
      <w:r w:rsidRPr="005C66A5">
        <w:rPr>
          <w:rFonts w:eastAsiaTheme="minorHAnsi"/>
          <w:lang w:eastAsia="en-US"/>
        </w:rPr>
        <w:t>.К</w:t>
      </w:r>
      <w:proofErr w:type="gramEnd"/>
      <w:r w:rsidRPr="005C66A5">
        <w:rPr>
          <w:rFonts w:eastAsiaTheme="minorHAnsi"/>
          <w:lang w:eastAsia="en-US"/>
        </w:rPr>
        <w:t>ызыла</w:t>
      </w:r>
      <w:proofErr w:type="spellEnd"/>
      <w:r w:rsidRPr="005C66A5">
        <w:rPr>
          <w:rFonts w:eastAsiaTheme="minorHAnsi"/>
          <w:lang w:eastAsia="en-US"/>
        </w:rPr>
        <w:t xml:space="preserve">, </w:t>
      </w:r>
      <w:proofErr w:type="spellStart"/>
      <w:r w:rsidRPr="005C66A5">
        <w:rPr>
          <w:rFonts w:eastAsiaTheme="minorHAnsi"/>
          <w:lang w:eastAsia="en-US"/>
        </w:rPr>
        <w:t>Кызылского</w:t>
      </w:r>
      <w:proofErr w:type="spellEnd"/>
      <w:r w:rsidRPr="005C66A5">
        <w:rPr>
          <w:rFonts w:eastAsiaTheme="minorHAnsi"/>
          <w:lang w:eastAsia="en-US"/>
        </w:rPr>
        <w:t xml:space="preserve">, </w:t>
      </w:r>
      <w:proofErr w:type="spellStart"/>
      <w:r w:rsidRPr="005C66A5">
        <w:rPr>
          <w:rFonts w:eastAsiaTheme="minorHAnsi"/>
          <w:lang w:eastAsia="en-US"/>
        </w:rPr>
        <w:t>Улуг-Хемского</w:t>
      </w:r>
      <w:proofErr w:type="spellEnd"/>
      <w:r w:rsidRPr="005C66A5">
        <w:rPr>
          <w:rFonts w:eastAsiaTheme="minorHAnsi"/>
          <w:lang w:eastAsia="en-US"/>
        </w:rPr>
        <w:t xml:space="preserve">, </w:t>
      </w:r>
      <w:proofErr w:type="spellStart"/>
      <w:r w:rsidRPr="005C66A5">
        <w:rPr>
          <w:rFonts w:eastAsiaTheme="minorHAnsi"/>
          <w:lang w:eastAsia="en-US"/>
        </w:rPr>
        <w:t>Дзун-Хемчикского</w:t>
      </w:r>
      <w:proofErr w:type="spellEnd"/>
      <w:r w:rsidRPr="005C66A5">
        <w:rPr>
          <w:rFonts w:eastAsiaTheme="minorHAnsi"/>
          <w:lang w:eastAsia="en-US"/>
        </w:rPr>
        <w:t xml:space="preserve"> </w:t>
      </w:r>
      <w:proofErr w:type="spellStart"/>
      <w:r w:rsidRPr="005C66A5">
        <w:rPr>
          <w:rFonts w:eastAsiaTheme="minorHAnsi"/>
          <w:lang w:eastAsia="en-US"/>
        </w:rPr>
        <w:t>кожуунов</w:t>
      </w:r>
      <w:proofErr w:type="spellEnd"/>
      <w:r w:rsidRPr="005C66A5">
        <w:rPr>
          <w:rFonts w:eastAsiaTheme="minorHAnsi"/>
          <w:lang w:eastAsia="en-US"/>
        </w:rPr>
        <w:t xml:space="preserve">. Для педагогов общеобразовательных организаций распечатаны и розданы методические рекомендации по профилактике </w:t>
      </w:r>
      <w:proofErr w:type="spellStart"/>
      <w:r w:rsidRPr="005C66A5">
        <w:rPr>
          <w:rFonts w:eastAsiaTheme="minorHAnsi"/>
          <w:lang w:eastAsia="en-US"/>
        </w:rPr>
        <w:t>психоактивных</w:t>
      </w:r>
      <w:proofErr w:type="spellEnd"/>
      <w:r w:rsidRPr="005C66A5">
        <w:rPr>
          <w:rFonts w:eastAsiaTheme="minorHAnsi"/>
          <w:lang w:eastAsia="en-US"/>
        </w:rPr>
        <w:t xml:space="preserve"> веществ в образовательной среде и программы по работе с несовершеннолетними группы «риска» «Как остановить беду», «</w:t>
      </w:r>
      <w:proofErr w:type="spellStart"/>
      <w:r w:rsidRPr="005C66A5">
        <w:rPr>
          <w:rFonts w:eastAsiaTheme="minorHAnsi"/>
          <w:lang w:eastAsia="en-US"/>
        </w:rPr>
        <w:t>Консруктор</w:t>
      </w:r>
      <w:proofErr w:type="spellEnd"/>
      <w:r w:rsidRPr="005C66A5">
        <w:rPr>
          <w:rFonts w:eastAsiaTheme="minorHAnsi"/>
          <w:lang w:eastAsia="en-US"/>
        </w:rPr>
        <w:t>» и т.д., в количестве 360 шт.</w:t>
      </w:r>
    </w:p>
    <w:p w:rsidR="00F46F03" w:rsidRDefault="00F46F03" w:rsidP="00F46F03">
      <w:pPr>
        <w:pBdr>
          <w:top w:val="single" w:sz="4" w:space="1" w:color="FFFFFF"/>
          <w:left w:val="single" w:sz="4" w:space="0" w:color="FFFFFF"/>
          <w:bottom w:val="single" w:sz="4" w:space="31" w:color="FFFFFF"/>
          <w:right w:val="single" w:sz="4" w:space="12" w:color="FFFFFF"/>
        </w:pBdr>
        <w:spacing w:after="0"/>
        <w:ind w:firstLine="567"/>
        <w:jc w:val="center"/>
        <w:rPr>
          <w:highlight w:val="green"/>
        </w:rPr>
      </w:pPr>
    </w:p>
    <w:p w:rsidR="00F46F03" w:rsidRPr="00F46F03" w:rsidRDefault="00F46F03" w:rsidP="00F46F03">
      <w:pPr>
        <w:pBdr>
          <w:top w:val="single" w:sz="4" w:space="1" w:color="FFFFFF"/>
          <w:left w:val="single" w:sz="4" w:space="0" w:color="FFFFFF"/>
          <w:bottom w:val="single" w:sz="4" w:space="31" w:color="FFFFFF"/>
          <w:right w:val="single" w:sz="4" w:space="12" w:color="FFFFFF"/>
        </w:pBdr>
        <w:spacing w:after="0"/>
        <w:ind w:firstLine="567"/>
        <w:jc w:val="center"/>
      </w:pPr>
    </w:p>
    <w:p w:rsidR="00F46F03" w:rsidRPr="00F46F03" w:rsidRDefault="00F46F03" w:rsidP="00F46F03">
      <w:pPr>
        <w:pBdr>
          <w:top w:val="single" w:sz="4" w:space="1" w:color="FFFFFF"/>
          <w:left w:val="single" w:sz="4" w:space="0" w:color="FFFFFF"/>
          <w:bottom w:val="single" w:sz="4" w:space="31" w:color="FFFFFF"/>
          <w:right w:val="single" w:sz="4" w:space="12" w:color="FFFFFF"/>
        </w:pBdr>
        <w:spacing w:before="240"/>
        <w:ind w:firstLine="567"/>
        <w:jc w:val="center"/>
        <w:rPr>
          <w:rFonts w:eastAsia="Calibri"/>
        </w:rPr>
      </w:pPr>
      <w:r w:rsidRPr="00F46F03">
        <w:lastRenderedPageBreak/>
        <w:t xml:space="preserve">Из 8 индикаторов: </w:t>
      </w:r>
      <w:proofErr w:type="gramStart"/>
      <w:r w:rsidRPr="00F46F03">
        <w:t>достигнуты</w:t>
      </w:r>
      <w:proofErr w:type="gramEnd"/>
      <w:r w:rsidRPr="00F46F03">
        <w:t xml:space="preserve"> -7, не достигнут – 1.</w:t>
      </w:r>
    </w:p>
    <w:tbl>
      <w:tblPr>
        <w:tblStyle w:val="a5"/>
        <w:tblW w:w="10348" w:type="dxa"/>
        <w:tblInd w:w="-460" w:type="dxa"/>
        <w:tblLayout w:type="fixed"/>
        <w:tblLook w:val="04A0" w:firstRow="1" w:lastRow="0" w:firstColumn="1" w:lastColumn="0" w:noHBand="0" w:noVBand="1"/>
      </w:tblPr>
      <w:tblGrid>
        <w:gridCol w:w="622"/>
        <w:gridCol w:w="4536"/>
        <w:gridCol w:w="1418"/>
        <w:gridCol w:w="1134"/>
        <w:gridCol w:w="992"/>
        <w:gridCol w:w="1646"/>
      </w:tblGrid>
      <w:tr w:rsidR="00F46F03" w:rsidRPr="00F46F03" w:rsidTr="00F46F03">
        <w:trPr>
          <w:trHeight w:val="58"/>
        </w:trPr>
        <w:tc>
          <w:tcPr>
            <w:tcW w:w="622" w:type="dxa"/>
            <w:vMerge w:val="restart"/>
          </w:tcPr>
          <w:p w:rsidR="00F46F03" w:rsidRPr="00F46F03" w:rsidRDefault="00F46F03" w:rsidP="00625510">
            <w:pPr>
              <w:shd w:val="clear" w:color="auto" w:fill="FFFFFF" w:themeFill="background1"/>
              <w:suppressAutoHyphens/>
              <w:contextualSpacing/>
              <w:jc w:val="both"/>
              <w:rPr>
                <w:sz w:val="20"/>
                <w:szCs w:val="20"/>
                <w:lang w:eastAsia="en-US"/>
              </w:rPr>
            </w:pPr>
            <w:r w:rsidRPr="00F46F03">
              <w:rPr>
                <w:b/>
                <w:sz w:val="20"/>
                <w:szCs w:val="20"/>
              </w:rPr>
              <w:t xml:space="preserve">№ </w:t>
            </w:r>
            <w:proofErr w:type="gramStart"/>
            <w:r w:rsidRPr="00F46F03">
              <w:rPr>
                <w:b/>
                <w:sz w:val="20"/>
                <w:szCs w:val="20"/>
              </w:rPr>
              <w:t>п</w:t>
            </w:r>
            <w:proofErr w:type="gramEnd"/>
            <w:r w:rsidRPr="00F46F03">
              <w:rPr>
                <w:b/>
                <w:sz w:val="20"/>
                <w:szCs w:val="20"/>
              </w:rPr>
              <w:t>/п</w:t>
            </w:r>
          </w:p>
        </w:tc>
        <w:tc>
          <w:tcPr>
            <w:tcW w:w="4536" w:type="dxa"/>
            <w:vMerge w:val="restart"/>
          </w:tcPr>
          <w:p w:rsidR="00F46F03" w:rsidRPr="00F46F03" w:rsidRDefault="00F46F03" w:rsidP="00625510">
            <w:pPr>
              <w:shd w:val="clear" w:color="auto" w:fill="FFFFFF" w:themeFill="background1"/>
              <w:suppressAutoHyphens/>
              <w:contextualSpacing/>
              <w:jc w:val="both"/>
              <w:rPr>
                <w:bCs/>
                <w:color w:val="000000"/>
                <w:sz w:val="20"/>
                <w:szCs w:val="20"/>
              </w:rPr>
            </w:pPr>
            <w:r w:rsidRPr="00F46F03">
              <w:rPr>
                <w:b/>
                <w:sz w:val="20"/>
                <w:szCs w:val="20"/>
              </w:rPr>
              <w:t>Целевые индикаторы</w:t>
            </w:r>
          </w:p>
        </w:tc>
        <w:tc>
          <w:tcPr>
            <w:tcW w:w="1418" w:type="dxa"/>
            <w:vMerge w:val="restart"/>
          </w:tcPr>
          <w:p w:rsidR="00F46F03" w:rsidRPr="00F46F03" w:rsidRDefault="00F46F03" w:rsidP="00625510">
            <w:pPr>
              <w:shd w:val="clear" w:color="auto" w:fill="FFFFFF" w:themeFill="background1"/>
              <w:suppressAutoHyphens/>
              <w:contextualSpacing/>
              <w:jc w:val="center"/>
              <w:rPr>
                <w:rFonts w:eastAsiaTheme="minorHAnsi"/>
                <w:sz w:val="20"/>
                <w:szCs w:val="20"/>
                <w:lang w:eastAsia="en-US"/>
              </w:rPr>
            </w:pPr>
            <w:r w:rsidRPr="00F46F03">
              <w:rPr>
                <w:b/>
                <w:sz w:val="20"/>
                <w:szCs w:val="20"/>
              </w:rPr>
              <w:t>Единица измерения</w:t>
            </w:r>
          </w:p>
        </w:tc>
        <w:tc>
          <w:tcPr>
            <w:tcW w:w="2126" w:type="dxa"/>
            <w:gridSpan w:val="2"/>
          </w:tcPr>
          <w:p w:rsidR="00F46F03" w:rsidRPr="00F46F03" w:rsidRDefault="00F46F03" w:rsidP="00625510">
            <w:pPr>
              <w:shd w:val="clear" w:color="auto" w:fill="FFFFFF" w:themeFill="background1"/>
              <w:suppressAutoHyphens/>
              <w:contextualSpacing/>
              <w:jc w:val="center"/>
              <w:rPr>
                <w:rFonts w:eastAsiaTheme="minorHAnsi"/>
                <w:sz w:val="20"/>
                <w:szCs w:val="20"/>
                <w:lang w:eastAsia="en-US"/>
              </w:rPr>
            </w:pPr>
            <w:r w:rsidRPr="00F46F03">
              <w:rPr>
                <w:b/>
                <w:sz w:val="20"/>
                <w:szCs w:val="20"/>
              </w:rPr>
              <w:t>2024 год</w:t>
            </w:r>
          </w:p>
        </w:tc>
        <w:tc>
          <w:tcPr>
            <w:tcW w:w="1646" w:type="dxa"/>
            <w:vMerge w:val="restart"/>
          </w:tcPr>
          <w:p w:rsidR="00F46F03" w:rsidRPr="00F46F03" w:rsidRDefault="00F46F03" w:rsidP="00625510">
            <w:pPr>
              <w:shd w:val="clear" w:color="auto" w:fill="FFFFFF" w:themeFill="background1"/>
              <w:suppressAutoHyphens/>
              <w:contextualSpacing/>
              <w:jc w:val="center"/>
              <w:rPr>
                <w:b/>
                <w:sz w:val="20"/>
                <w:szCs w:val="20"/>
              </w:rPr>
            </w:pPr>
            <w:r w:rsidRPr="00F46F03">
              <w:rPr>
                <w:b/>
                <w:sz w:val="20"/>
                <w:szCs w:val="20"/>
              </w:rPr>
              <w:t>Примечание</w:t>
            </w:r>
          </w:p>
          <w:p w:rsidR="00F46F03" w:rsidRPr="00F46F03" w:rsidRDefault="00F46F03" w:rsidP="00625510">
            <w:pPr>
              <w:shd w:val="clear" w:color="auto" w:fill="FFFFFF" w:themeFill="background1"/>
              <w:suppressAutoHyphens/>
              <w:contextualSpacing/>
              <w:jc w:val="center"/>
              <w:rPr>
                <w:rFonts w:eastAsiaTheme="minorHAnsi"/>
                <w:b/>
                <w:sz w:val="20"/>
                <w:szCs w:val="20"/>
                <w:lang w:eastAsia="en-US"/>
              </w:rPr>
            </w:pPr>
          </w:p>
        </w:tc>
      </w:tr>
      <w:tr w:rsidR="00F46F03" w:rsidRPr="00F46F03" w:rsidTr="00F46F03">
        <w:trPr>
          <w:trHeight w:val="58"/>
        </w:trPr>
        <w:tc>
          <w:tcPr>
            <w:tcW w:w="622" w:type="dxa"/>
            <w:vMerge/>
          </w:tcPr>
          <w:p w:rsidR="00F46F03" w:rsidRPr="00F46F03" w:rsidRDefault="00F46F03" w:rsidP="00625510">
            <w:pPr>
              <w:shd w:val="clear" w:color="auto" w:fill="FFFFFF" w:themeFill="background1"/>
              <w:suppressAutoHyphens/>
              <w:contextualSpacing/>
              <w:jc w:val="both"/>
              <w:rPr>
                <w:sz w:val="20"/>
                <w:szCs w:val="20"/>
                <w:lang w:eastAsia="en-US"/>
              </w:rPr>
            </w:pPr>
          </w:p>
        </w:tc>
        <w:tc>
          <w:tcPr>
            <w:tcW w:w="4536" w:type="dxa"/>
            <w:vMerge/>
          </w:tcPr>
          <w:p w:rsidR="00F46F03" w:rsidRPr="00F46F03" w:rsidRDefault="00F46F03" w:rsidP="00625510">
            <w:pPr>
              <w:shd w:val="clear" w:color="auto" w:fill="FFFFFF" w:themeFill="background1"/>
              <w:suppressAutoHyphens/>
              <w:contextualSpacing/>
              <w:jc w:val="both"/>
              <w:rPr>
                <w:rFonts w:eastAsiaTheme="minorHAnsi"/>
                <w:sz w:val="20"/>
                <w:szCs w:val="20"/>
                <w:lang w:eastAsia="en-US"/>
              </w:rPr>
            </w:pPr>
          </w:p>
        </w:tc>
        <w:tc>
          <w:tcPr>
            <w:tcW w:w="1418" w:type="dxa"/>
            <w:vMerge/>
          </w:tcPr>
          <w:p w:rsidR="00F46F03" w:rsidRPr="00F46F03" w:rsidRDefault="00F46F03" w:rsidP="00625510">
            <w:pPr>
              <w:shd w:val="clear" w:color="auto" w:fill="FFFFFF" w:themeFill="background1"/>
              <w:suppressAutoHyphens/>
              <w:contextualSpacing/>
              <w:jc w:val="center"/>
              <w:rPr>
                <w:rFonts w:eastAsiaTheme="minorHAnsi"/>
                <w:sz w:val="20"/>
                <w:szCs w:val="20"/>
                <w:lang w:eastAsia="en-US"/>
              </w:rPr>
            </w:pPr>
          </w:p>
        </w:tc>
        <w:tc>
          <w:tcPr>
            <w:tcW w:w="1134" w:type="dxa"/>
          </w:tcPr>
          <w:p w:rsidR="00F46F03" w:rsidRPr="00F46F03" w:rsidRDefault="00F46F03" w:rsidP="00625510">
            <w:pPr>
              <w:shd w:val="clear" w:color="auto" w:fill="FFFFFF" w:themeFill="background1"/>
              <w:suppressAutoHyphens/>
              <w:contextualSpacing/>
              <w:jc w:val="center"/>
              <w:rPr>
                <w:b/>
                <w:sz w:val="20"/>
                <w:szCs w:val="20"/>
                <w:lang w:val="en-US"/>
              </w:rPr>
            </w:pPr>
            <w:r w:rsidRPr="00F46F03">
              <w:rPr>
                <w:b/>
                <w:sz w:val="20"/>
                <w:szCs w:val="20"/>
              </w:rPr>
              <w:t>план</w:t>
            </w:r>
          </w:p>
        </w:tc>
        <w:tc>
          <w:tcPr>
            <w:tcW w:w="992" w:type="dxa"/>
          </w:tcPr>
          <w:p w:rsidR="00F46F03" w:rsidRPr="00F46F03" w:rsidRDefault="00F46F03" w:rsidP="00625510">
            <w:pPr>
              <w:shd w:val="clear" w:color="auto" w:fill="FFFFFF" w:themeFill="background1"/>
              <w:suppressAutoHyphens/>
              <w:contextualSpacing/>
              <w:jc w:val="center"/>
              <w:rPr>
                <w:b/>
                <w:sz w:val="20"/>
                <w:szCs w:val="20"/>
                <w:lang w:val="en-US"/>
              </w:rPr>
            </w:pPr>
            <w:r w:rsidRPr="00F46F03">
              <w:rPr>
                <w:b/>
                <w:sz w:val="20"/>
                <w:szCs w:val="20"/>
              </w:rPr>
              <w:t>факт</w:t>
            </w:r>
          </w:p>
        </w:tc>
        <w:tc>
          <w:tcPr>
            <w:tcW w:w="1646" w:type="dxa"/>
            <w:vMerge/>
          </w:tcPr>
          <w:p w:rsidR="00F46F03" w:rsidRPr="00F46F03" w:rsidRDefault="00F46F03" w:rsidP="00625510">
            <w:pPr>
              <w:shd w:val="clear" w:color="auto" w:fill="FFFFFF" w:themeFill="background1"/>
              <w:suppressAutoHyphens/>
              <w:contextualSpacing/>
              <w:jc w:val="center"/>
              <w:rPr>
                <w:rFonts w:eastAsiaTheme="minorHAnsi"/>
                <w:b/>
                <w:sz w:val="20"/>
                <w:szCs w:val="20"/>
                <w:lang w:eastAsia="en-US"/>
              </w:rPr>
            </w:pPr>
          </w:p>
        </w:tc>
      </w:tr>
      <w:tr w:rsidR="00F46F03" w:rsidRPr="00F46F03" w:rsidTr="00F46F03">
        <w:trPr>
          <w:trHeight w:val="58"/>
        </w:trPr>
        <w:tc>
          <w:tcPr>
            <w:tcW w:w="622" w:type="dxa"/>
          </w:tcPr>
          <w:p w:rsidR="00F46F03" w:rsidRPr="00F46F03" w:rsidRDefault="00F46F03" w:rsidP="00625510">
            <w:pPr>
              <w:shd w:val="clear" w:color="auto" w:fill="FFFFFF" w:themeFill="background1"/>
              <w:suppressAutoHyphens/>
              <w:contextualSpacing/>
              <w:jc w:val="both"/>
              <w:rPr>
                <w:sz w:val="20"/>
                <w:szCs w:val="20"/>
                <w:lang w:eastAsia="en-US"/>
              </w:rPr>
            </w:pPr>
            <w:r w:rsidRPr="00F46F03">
              <w:rPr>
                <w:sz w:val="20"/>
                <w:szCs w:val="20"/>
                <w:lang w:eastAsia="en-US"/>
              </w:rPr>
              <w:t>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F46F03" w:rsidRPr="00F46F03" w:rsidRDefault="00F46F03" w:rsidP="00625510">
            <w:pPr>
              <w:jc w:val="both"/>
              <w:rPr>
                <w:color w:val="000000"/>
                <w:sz w:val="20"/>
                <w:szCs w:val="20"/>
              </w:rPr>
            </w:pPr>
            <w:r w:rsidRPr="00F46F03">
              <w:rPr>
                <w:color w:val="000000"/>
                <w:sz w:val="20"/>
                <w:szCs w:val="20"/>
              </w:rPr>
              <w:t>Сокращение количества преступлений, совершенных в общественных местах</w:t>
            </w:r>
          </w:p>
        </w:tc>
        <w:tc>
          <w:tcPr>
            <w:tcW w:w="1418" w:type="dxa"/>
            <w:tcBorders>
              <w:top w:val="single" w:sz="4" w:space="0" w:color="auto"/>
              <w:left w:val="nil"/>
              <w:bottom w:val="single" w:sz="4" w:space="0" w:color="auto"/>
              <w:right w:val="single" w:sz="4" w:space="0" w:color="auto"/>
            </w:tcBorders>
            <w:shd w:val="clear" w:color="auto" w:fill="auto"/>
            <w:vAlign w:val="center"/>
          </w:tcPr>
          <w:p w:rsidR="00F46F03" w:rsidRPr="00F46F03" w:rsidRDefault="00F46F03" w:rsidP="00625510">
            <w:pPr>
              <w:shd w:val="clear" w:color="auto" w:fill="FFFFFF" w:themeFill="background1"/>
              <w:suppressAutoHyphens/>
              <w:contextualSpacing/>
              <w:jc w:val="center"/>
              <w:rPr>
                <w:rFonts w:eastAsiaTheme="minorHAnsi"/>
                <w:sz w:val="20"/>
                <w:szCs w:val="20"/>
                <w:lang w:eastAsia="en-US"/>
              </w:rPr>
            </w:pPr>
            <w:r w:rsidRPr="00F46F03">
              <w:rPr>
                <w:color w:val="000000"/>
                <w:sz w:val="20"/>
                <w:szCs w:val="20"/>
              </w:rPr>
              <w:t>число</w:t>
            </w:r>
          </w:p>
        </w:tc>
        <w:tc>
          <w:tcPr>
            <w:tcW w:w="1134" w:type="dxa"/>
            <w:tcBorders>
              <w:top w:val="single" w:sz="4" w:space="0" w:color="auto"/>
              <w:left w:val="nil"/>
              <w:bottom w:val="single" w:sz="4" w:space="0" w:color="auto"/>
              <w:right w:val="single" w:sz="4" w:space="0" w:color="auto"/>
            </w:tcBorders>
            <w:shd w:val="clear" w:color="auto" w:fill="auto"/>
            <w:vAlign w:val="center"/>
          </w:tcPr>
          <w:p w:rsidR="00F46F03" w:rsidRPr="00F46F03" w:rsidRDefault="00F46F03" w:rsidP="00625510">
            <w:pPr>
              <w:shd w:val="clear" w:color="auto" w:fill="FFFFFF" w:themeFill="background1"/>
              <w:contextualSpacing/>
              <w:jc w:val="center"/>
              <w:rPr>
                <w:color w:val="000000"/>
                <w:sz w:val="20"/>
                <w:szCs w:val="20"/>
              </w:rPr>
            </w:pPr>
            <w:r w:rsidRPr="00F46F03">
              <w:rPr>
                <w:color w:val="000000"/>
                <w:sz w:val="20"/>
                <w:szCs w:val="20"/>
              </w:rPr>
              <w:t>2100</w:t>
            </w:r>
          </w:p>
        </w:tc>
        <w:tc>
          <w:tcPr>
            <w:tcW w:w="992" w:type="dxa"/>
            <w:tcBorders>
              <w:top w:val="single" w:sz="4" w:space="0" w:color="auto"/>
              <w:left w:val="nil"/>
              <w:bottom w:val="single" w:sz="4" w:space="0" w:color="auto"/>
              <w:right w:val="single" w:sz="4" w:space="0" w:color="auto"/>
            </w:tcBorders>
            <w:shd w:val="clear" w:color="auto" w:fill="auto"/>
            <w:vAlign w:val="center"/>
          </w:tcPr>
          <w:p w:rsidR="00F46F03" w:rsidRPr="00F46F03" w:rsidRDefault="00F46F03" w:rsidP="00625510">
            <w:pPr>
              <w:shd w:val="clear" w:color="auto" w:fill="FFFFFF" w:themeFill="background1"/>
              <w:contextualSpacing/>
              <w:jc w:val="center"/>
              <w:rPr>
                <w:color w:val="000000"/>
                <w:sz w:val="20"/>
                <w:szCs w:val="20"/>
              </w:rPr>
            </w:pPr>
            <w:r w:rsidRPr="00F46F03">
              <w:rPr>
                <w:color w:val="000000"/>
                <w:sz w:val="20"/>
                <w:szCs w:val="20"/>
              </w:rPr>
              <w:t>1370</w:t>
            </w:r>
          </w:p>
        </w:tc>
        <w:tc>
          <w:tcPr>
            <w:tcW w:w="1646" w:type="dxa"/>
            <w:vAlign w:val="center"/>
          </w:tcPr>
          <w:p w:rsidR="00F46F03" w:rsidRPr="00F46F03" w:rsidRDefault="00F46F03" w:rsidP="00625510">
            <w:pPr>
              <w:shd w:val="clear" w:color="auto" w:fill="FFFFFF" w:themeFill="background1"/>
              <w:contextualSpacing/>
              <w:jc w:val="center"/>
              <w:rPr>
                <w:color w:val="000000"/>
                <w:sz w:val="20"/>
                <w:szCs w:val="20"/>
              </w:rPr>
            </w:pPr>
            <w:r w:rsidRPr="00F46F03">
              <w:rPr>
                <w:color w:val="000000"/>
                <w:sz w:val="20"/>
                <w:szCs w:val="20"/>
              </w:rPr>
              <w:t>Достигнут</w:t>
            </w:r>
          </w:p>
        </w:tc>
      </w:tr>
      <w:tr w:rsidR="00F46F03" w:rsidRPr="00F46F03" w:rsidTr="00F46F03">
        <w:trPr>
          <w:trHeight w:val="58"/>
        </w:trPr>
        <w:tc>
          <w:tcPr>
            <w:tcW w:w="622" w:type="dxa"/>
          </w:tcPr>
          <w:p w:rsidR="00F46F03" w:rsidRPr="00F46F03" w:rsidRDefault="00F46F03" w:rsidP="00625510">
            <w:pPr>
              <w:shd w:val="clear" w:color="auto" w:fill="FFFFFF" w:themeFill="background1"/>
              <w:suppressAutoHyphens/>
              <w:contextualSpacing/>
              <w:jc w:val="both"/>
              <w:rPr>
                <w:sz w:val="20"/>
                <w:szCs w:val="20"/>
                <w:lang w:eastAsia="en-US"/>
              </w:rPr>
            </w:pPr>
            <w:r w:rsidRPr="00F46F03">
              <w:rPr>
                <w:sz w:val="20"/>
                <w:szCs w:val="20"/>
                <w:lang w:eastAsia="en-US"/>
              </w:rPr>
              <w:t>2</w:t>
            </w:r>
          </w:p>
        </w:tc>
        <w:tc>
          <w:tcPr>
            <w:tcW w:w="4536" w:type="dxa"/>
            <w:tcBorders>
              <w:top w:val="nil"/>
              <w:left w:val="single" w:sz="4" w:space="0" w:color="auto"/>
              <w:bottom w:val="single" w:sz="4" w:space="0" w:color="auto"/>
              <w:right w:val="single" w:sz="4" w:space="0" w:color="auto"/>
            </w:tcBorders>
            <w:shd w:val="clear" w:color="auto" w:fill="auto"/>
            <w:vAlign w:val="center"/>
          </w:tcPr>
          <w:p w:rsidR="00F46F03" w:rsidRPr="00F46F03" w:rsidRDefault="00F46F03" w:rsidP="00625510">
            <w:pPr>
              <w:jc w:val="both"/>
              <w:rPr>
                <w:color w:val="000000"/>
                <w:sz w:val="20"/>
                <w:szCs w:val="20"/>
              </w:rPr>
            </w:pPr>
            <w:r w:rsidRPr="00F46F03">
              <w:rPr>
                <w:color w:val="000000"/>
                <w:sz w:val="20"/>
                <w:szCs w:val="20"/>
              </w:rPr>
              <w:t>Сокращение количества краж сельскохозяйственных животных</w:t>
            </w:r>
          </w:p>
        </w:tc>
        <w:tc>
          <w:tcPr>
            <w:tcW w:w="1418" w:type="dxa"/>
            <w:tcBorders>
              <w:top w:val="nil"/>
              <w:left w:val="nil"/>
              <w:bottom w:val="single" w:sz="4" w:space="0" w:color="auto"/>
              <w:right w:val="single" w:sz="4" w:space="0" w:color="auto"/>
            </w:tcBorders>
            <w:shd w:val="clear" w:color="auto" w:fill="auto"/>
            <w:vAlign w:val="center"/>
          </w:tcPr>
          <w:p w:rsidR="00F46F03" w:rsidRPr="00F46F03" w:rsidRDefault="00F46F03" w:rsidP="00625510">
            <w:pPr>
              <w:shd w:val="clear" w:color="auto" w:fill="FFFFFF" w:themeFill="background1"/>
              <w:suppressAutoHyphens/>
              <w:contextualSpacing/>
              <w:jc w:val="center"/>
              <w:rPr>
                <w:rFonts w:eastAsiaTheme="minorHAnsi"/>
                <w:sz w:val="20"/>
                <w:szCs w:val="20"/>
                <w:lang w:eastAsia="en-US"/>
              </w:rPr>
            </w:pPr>
            <w:r w:rsidRPr="00F46F03">
              <w:rPr>
                <w:color w:val="000000"/>
                <w:sz w:val="20"/>
                <w:szCs w:val="20"/>
              </w:rPr>
              <w:t>число</w:t>
            </w:r>
          </w:p>
        </w:tc>
        <w:tc>
          <w:tcPr>
            <w:tcW w:w="1134" w:type="dxa"/>
            <w:tcBorders>
              <w:top w:val="nil"/>
              <w:left w:val="nil"/>
              <w:bottom w:val="single" w:sz="4" w:space="0" w:color="auto"/>
              <w:right w:val="single" w:sz="4" w:space="0" w:color="auto"/>
            </w:tcBorders>
            <w:shd w:val="clear" w:color="auto" w:fill="auto"/>
            <w:vAlign w:val="center"/>
          </w:tcPr>
          <w:p w:rsidR="00F46F03" w:rsidRPr="00F46F03" w:rsidRDefault="00F46F03" w:rsidP="00625510">
            <w:pPr>
              <w:shd w:val="clear" w:color="auto" w:fill="FFFFFF" w:themeFill="background1"/>
              <w:contextualSpacing/>
              <w:jc w:val="center"/>
              <w:rPr>
                <w:color w:val="000000"/>
                <w:sz w:val="20"/>
                <w:szCs w:val="20"/>
              </w:rPr>
            </w:pPr>
            <w:r w:rsidRPr="00F46F03">
              <w:rPr>
                <w:color w:val="000000"/>
                <w:sz w:val="20"/>
                <w:szCs w:val="20"/>
              </w:rPr>
              <w:t>300</w:t>
            </w:r>
          </w:p>
        </w:tc>
        <w:tc>
          <w:tcPr>
            <w:tcW w:w="992" w:type="dxa"/>
            <w:tcBorders>
              <w:top w:val="nil"/>
              <w:left w:val="nil"/>
              <w:bottom w:val="single" w:sz="4" w:space="0" w:color="auto"/>
              <w:right w:val="single" w:sz="4" w:space="0" w:color="auto"/>
            </w:tcBorders>
            <w:shd w:val="clear" w:color="auto" w:fill="auto"/>
            <w:vAlign w:val="center"/>
          </w:tcPr>
          <w:p w:rsidR="00F46F03" w:rsidRPr="00F46F03" w:rsidRDefault="00F46F03" w:rsidP="00625510">
            <w:pPr>
              <w:shd w:val="clear" w:color="auto" w:fill="FFFFFF" w:themeFill="background1"/>
              <w:contextualSpacing/>
              <w:jc w:val="center"/>
              <w:rPr>
                <w:color w:val="000000"/>
                <w:sz w:val="20"/>
                <w:szCs w:val="20"/>
              </w:rPr>
            </w:pPr>
            <w:r w:rsidRPr="00F46F03">
              <w:rPr>
                <w:color w:val="000000"/>
                <w:sz w:val="20"/>
                <w:szCs w:val="20"/>
              </w:rPr>
              <w:t>193</w:t>
            </w:r>
          </w:p>
        </w:tc>
        <w:tc>
          <w:tcPr>
            <w:tcW w:w="1646" w:type="dxa"/>
            <w:vAlign w:val="center"/>
          </w:tcPr>
          <w:p w:rsidR="00F46F03" w:rsidRPr="00F46F03" w:rsidRDefault="00F46F03" w:rsidP="00625510">
            <w:pPr>
              <w:shd w:val="clear" w:color="auto" w:fill="FFFFFF" w:themeFill="background1"/>
              <w:contextualSpacing/>
              <w:jc w:val="center"/>
              <w:rPr>
                <w:color w:val="000000"/>
                <w:sz w:val="20"/>
                <w:szCs w:val="20"/>
              </w:rPr>
            </w:pPr>
            <w:r w:rsidRPr="00F46F03">
              <w:rPr>
                <w:color w:val="000000"/>
                <w:sz w:val="20"/>
                <w:szCs w:val="20"/>
              </w:rPr>
              <w:t>Достигнут</w:t>
            </w:r>
          </w:p>
        </w:tc>
      </w:tr>
      <w:tr w:rsidR="00F46F03" w:rsidRPr="00F46F03" w:rsidTr="00F46F03">
        <w:trPr>
          <w:trHeight w:val="58"/>
        </w:trPr>
        <w:tc>
          <w:tcPr>
            <w:tcW w:w="622" w:type="dxa"/>
          </w:tcPr>
          <w:p w:rsidR="00F46F03" w:rsidRPr="00F46F03" w:rsidRDefault="00F46F03" w:rsidP="00625510">
            <w:pPr>
              <w:shd w:val="clear" w:color="auto" w:fill="FFFFFF" w:themeFill="background1"/>
              <w:suppressAutoHyphens/>
              <w:contextualSpacing/>
              <w:jc w:val="both"/>
              <w:rPr>
                <w:sz w:val="20"/>
                <w:szCs w:val="20"/>
                <w:lang w:eastAsia="en-US"/>
              </w:rPr>
            </w:pPr>
            <w:r w:rsidRPr="00F46F03">
              <w:rPr>
                <w:sz w:val="20"/>
                <w:szCs w:val="20"/>
                <w:lang w:eastAsia="en-US"/>
              </w:rPr>
              <w:t>3</w:t>
            </w:r>
          </w:p>
        </w:tc>
        <w:tc>
          <w:tcPr>
            <w:tcW w:w="4536" w:type="dxa"/>
            <w:tcBorders>
              <w:top w:val="nil"/>
              <w:left w:val="single" w:sz="4" w:space="0" w:color="auto"/>
              <w:bottom w:val="single" w:sz="4" w:space="0" w:color="auto"/>
              <w:right w:val="single" w:sz="4" w:space="0" w:color="auto"/>
            </w:tcBorders>
            <w:shd w:val="clear" w:color="auto" w:fill="auto"/>
          </w:tcPr>
          <w:p w:rsidR="00F46F03" w:rsidRPr="00F46F03" w:rsidRDefault="00F46F03" w:rsidP="00625510">
            <w:pPr>
              <w:jc w:val="both"/>
              <w:rPr>
                <w:color w:val="000000"/>
                <w:sz w:val="20"/>
                <w:szCs w:val="20"/>
              </w:rPr>
            </w:pPr>
            <w:r w:rsidRPr="00F46F03">
              <w:rPr>
                <w:color w:val="000000"/>
                <w:sz w:val="20"/>
                <w:szCs w:val="20"/>
              </w:rPr>
              <w:t>Сокращение количества преступлений, связанных с незаконным оборотом оружия</w:t>
            </w:r>
          </w:p>
        </w:tc>
        <w:tc>
          <w:tcPr>
            <w:tcW w:w="1418" w:type="dxa"/>
            <w:tcBorders>
              <w:top w:val="nil"/>
              <w:left w:val="nil"/>
              <w:bottom w:val="single" w:sz="4" w:space="0" w:color="auto"/>
              <w:right w:val="single" w:sz="4" w:space="0" w:color="auto"/>
            </w:tcBorders>
            <w:shd w:val="clear" w:color="auto" w:fill="auto"/>
            <w:vAlign w:val="center"/>
          </w:tcPr>
          <w:p w:rsidR="00F46F03" w:rsidRPr="00F46F03" w:rsidRDefault="00F46F03" w:rsidP="00625510">
            <w:pPr>
              <w:shd w:val="clear" w:color="auto" w:fill="FFFFFF" w:themeFill="background1"/>
              <w:suppressAutoHyphens/>
              <w:contextualSpacing/>
              <w:jc w:val="center"/>
              <w:rPr>
                <w:rFonts w:eastAsiaTheme="minorHAnsi"/>
                <w:sz w:val="20"/>
                <w:szCs w:val="20"/>
                <w:lang w:eastAsia="en-US"/>
              </w:rPr>
            </w:pPr>
            <w:r w:rsidRPr="00F46F03">
              <w:rPr>
                <w:color w:val="000000"/>
                <w:sz w:val="20"/>
                <w:szCs w:val="20"/>
              </w:rPr>
              <w:t>число</w:t>
            </w:r>
          </w:p>
        </w:tc>
        <w:tc>
          <w:tcPr>
            <w:tcW w:w="1134" w:type="dxa"/>
            <w:tcBorders>
              <w:top w:val="nil"/>
              <w:left w:val="nil"/>
              <w:bottom w:val="single" w:sz="4" w:space="0" w:color="auto"/>
              <w:right w:val="single" w:sz="4" w:space="0" w:color="auto"/>
            </w:tcBorders>
            <w:shd w:val="clear" w:color="auto" w:fill="auto"/>
            <w:vAlign w:val="center"/>
          </w:tcPr>
          <w:p w:rsidR="00F46F03" w:rsidRPr="00F46F03" w:rsidRDefault="00F46F03" w:rsidP="00625510">
            <w:pPr>
              <w:shd w:val="clear" w:color="auto" w:fill="FFFFFF" w:themeFill="background1"/>
              <w:contextualSpacing/>
              <w:jc w:val="center"/>
              <w:rPr>
                <w:rFonts w:eastAsiaTheme="minorHAnsi"/>
                <w:sz w:val="20"/>
                <w:szCs w:val="20"/>
                <w:lang w:eastAsia="en-US"/>
              </w:rPr>
            </w:pPr>
            <w:r w:rsidRPr="00F46F03">
              <w:rPr>
                <w:color w:val="000000"/>
                <w:sz w:val="20"/>
                <w:szCs w:val="20"/>
              </w:rPr>
              <w:t>75</w:t>
            </w:r>
          </w:p>
        </w:tc>
        <w:tc>
          <w:tcPr>
            <w:tcW w:w="992" w:type="dxa"/>
            <w:tcBorders>
              <w:top w:val="nil"/>
              <w:left w:val="nil"/>
              <w:bottom w:val="single" w:sz="4" w:space="0" w:color="auto"/>
              <w:right w:val="single" w:sz="4" w:space="0" w:color="auto"/>
            </w:tcBorders>
            <w:shd w:val="clear" w:color="auto" w:fill="auto"/>
            <w:vAlign w:val="center"/>
          </w:tcPr>
          <w:p w:rsidR="00F46F03" w:rsidRPr="00F46F03" w:rsidRDefault="00F46F03" w:rsidP="00625510">
            <w:pPr>
              <w:shd w:val="clear" w:color="auto" w:fill="FFFFFF" w:themeFill="background1"/>
              <w:contextualSpacing/>
              <w:jc w:val="center"/>
              <w:rPr>
                <w:rFonts w:eastAsiaTheme="minorHAnsi"/>
                <w:sz w:val="20"/>
                <w:szCs w:val="20"/>
                <w:lang w:eastAsia="en-US"/>
              </w:rPr>
            </w:pPr>
            <w:r w:rsidRPr="00F46F03">
              <w:rPr>
                <w:color w:val="000000"/>
                <w:sz w:val="20"/>
                <w:szCs w:val="20"/>
              </w:rPr>
              <w:t>65</w:t>
            </w:r>
          </w:p>
        </w:tc>
        <w:tc>
          <w:tcPr>
            <w:tcW w:w="1646" w:type="dxa"/>
            <w:vAlign w:val="center"/>
          </w:tcPr>
          <w:p w:rsidR="00F46F03" w:rsidRPr="00F46F03" w:rsidRDefault="00F46F03" w:rsidP="00625510">
            <w:pPr>
              <w:shd w:val="clear" w:color="auto" w:fill="FFFFFF" w:themeFill="background1"/>
              <w:contextualSpacing/>
              <w:jc w:val="center"/>
              <w:rPr>
                <w:color w:val="000000"/>
                <w:sz w:val="20"/>
                <w:szCs w:val="20"/>
              </w:rPr>
            </w:pPr>
            <w:r w:rsidRPr="00F46F03">
              <w:rPr>
                <w:color w:val="000000"/>
                <w:sz w:val="20"/>
                <w:szCs w:val="20"/>
              </w:rPr>
              <w:t>Достигнут</w:t>
            </w:r>
          </w:p>
        </w:tc>
      </w:tr>
      <w:tr w:rsidR="00F46F03" w:rsidRPr="00F46F03" w:rsidTr="00F46F03">
        <w:trPr>
          <w:trHeight w:val="58"/>
        </w:trPr>
        <w:tc>
          <w:tcPr>
            <w:tcW w:w="622" w:type="dxa"/>
          </w:tcPr>
          <w:p w:rsidR="00F46F03" w:rsidRPr="00F46F03" w:rsidRDefault="00F46F03" w:rsidP="00625510">
            <w:pPr>
              <w:shd w:val="clear" w:color="auto" w:fill="FFFFFF" w:themeFill="background1"/>
              <w:suppressAutoHyphens/>
              <w:contextualSpacing/>
              <w:jc w:val="both"/>
              <w:rPr>
                <w:sz w:val="20"/>
                <w:szCs w:val="20"/>
                <w:lang w:eastAsia="en-US"/>
              </w:rPr>
            </w:pPr>
            <w:r w:rsidRPr="00F46F03">
              <w:rPr>
                <w:sz w:val="20"/>
                <w:szCs w:val="20"/>
                <w:lang w:eastAsia="en-US"/>
              </w:rPr>
              <w:t>4</w:t>
            </w:r>
          </w:p>
        </w:tc>
        <w:tc>
          <w:tcPr>
            <w:tcW w:w="4536" w:type="dxa"/>
            <w:tcBorders>
              <w:top w:val="nil"/>
              <w:left w:val="single" w:sz="4" w:space="0" w:color="auto"/>
              <w:bottom w:val="single" w:sz="4" w:space="0" w:color="auto"/>
              <w:right w:val="single" w:sz="4" w:space="0" w:color="auto"/>
            </w:tcBorders>
            <w:shd w:val="clear" w:color="auto" w:fill="auto"/>
          </w:tcPr>
          <w:p w:rsidR="00F46F03" w:rsidRPr="00F46F03" w:rsidRDefault="00F46F03" w:rsidP="00625510">
            <w:pPr>
              <w:jc w:val="both"/>
              <w:rPr>
                <w:color w:val="000000"/>
                <w:sz w:val="20"/>
                <w:szCs w:val="20"/>
              </w:rPr>
            </w:pPr>
            <w:r w:rsidRPr="00F46F03">
              <w:rPr>
                <w:color w:val="000000"/>
                <w:sz w:val="20"/>
                <w:szCs w:val="20"/>
              </w:rPr>
              <w:t>Сокращение числа дорожно-транспортных происшествий, совершенных по вине водителей, находившихся в состоянии опьянения</w:t>
            </w:r>
          </w:p>
        </w:tc>
        <w:tc>
          <w:tcPr>
            <w:tcW w:w="1418" w:type="dxa"/>
            <w:tcBorders>
              <w:top w:val="nil"/>
              <w:left w:val="nil"/>
              <w:bottom w:val="single" w:sz="4" w:space="0" w:color="auto"/>
              <w:right w:val="single" w:sz="4" w:space="0" w:color="auto"/>
            </w:tcBorders>
            <w:shd w:val="clear" w:color="auto" w:fill="auto"/>
            <w:vAlign w:val="center"/>
          </w:tcPr>
          <w:p w:rsidR="00F46F03" w:rsidRPr="00F46F03" w:rsidRDefault="00F46F03" w:rsidP="00625510">
            <w:pPr>
              <w:shd w:val="clear" w:color="auto" w:fill="FFFFFF" w:themeFill="background1"/>
              <w:suppressAutoHyphens/>
              <w:contextualSpacing/>
              <w:jc w:val="center"/>
              <w:rPr>
                <w:rFonts w:eastAsiaTheme="minorHAnsi"/>
                <w:sz w:val="20"/>
                <w:szCs w:val="20"/>
                <w:lang w:eastAsia="en-US"/>
              </w:rPr>
            </w:pPr>
            <w:r w:rsidRPr="00F46F03">
              <w:rPr>
                <w:color w:val="000000"/>
                <w:sz w:val="20"/>
                <w:szCs w:val="20"/>
              </w:rPr>
              <w:t>число</w:t>
            </w:r>
          </w:p>
        </w:tc>
        <w:tc>
          <w:tcPr>
            <w:tcW w:w="1134" w:type="dxa"/>
            <w:tcBorders>
              <w:top w:val="nil"/>
              <w:left w:val="nil"/>
              <w:bottom w:val="single" w:sz="4" w:space="0" w:color="auto"/>
              <w:right w:val="single" w:sz="4" w:space="0" w:color="auto"/>
            </w:tcBorders>
            <w:shd w:val="clear" w:color="auto" w:fill="auto"/>
            <w:vAlign w:val="center"/>
          </w:tcPr>
          <w:p w:rsidR="00F46F03" w:rsidRPr="00F46F03" w:rsidRDefault="00F46F03" w:rsidP="00625510">
            <w:pPr>
              <w:shd w:val="clear" w:color="auto" w:fill="FFFFFF" w:themeFill="background1"/>
              <w:contextualSpacing/>
              <w:jc w:val="center"/>
              <w:rPr>
                <w:rFonts w:eastAsiaTheme="minorHAnsi"/>
                <w:sz w:val="20"/>
                <w:szCs w:val="20"/>
                <w:lang w:eastAsia="en-US"/>
              </w:rPr>
            </w:pPr>
            <w:r w:rsidRPr="00F46F03">
              <w:rPr>
                <w:color w:val="000000"/>
                <w:sz w:val="20"/>
                <w:szCs w:val="20"/>
              </w:rPr>
              <w:t>85</w:t>
            </w:r>
          </w:p>
        </w:tc>
        <w:tc>
          <w:tcPr>
            <w:tcW w:w="992" w:type="dxa"/>
            <w:tcBorders>
              <w:top w:val="nil"/>
              <w:left w:val="nil"/>
              <w:bottom w:val="single" w:sz="4" w:space="0" w:color="auto"/>
              <w:right w:val="single" w:sz="4" w:space="0" w:color="auto"/>
            </w:tcBorders>
            <w:shd w:val="clear" w:color="auto" w:fill="auto"/>
            <w:vAlign w:val="center"/>
          </w:tcPr>
          <w:p w:rsidR="00F46F03" w:rsidRPr="00F46F03" w:rsidRDefault="00F46F03" w:rsidP="00625510">
            <w:pPr>
              <w:shd w:val="clear" w:color="auto" w:fill="FFFFFF" w:themeFill="background1"/>
              <w:contextualSpacing/>
              <w:jc w:val="center"/>
              <w:rPr>
                <w:rFonts w:eastAsiaTheme="minorHAnsi"/>
                <w:sz w:val="20"/>
                <w:szCs w:val="20"/>
                <w:lang w:eastAsia="en-US"/>
              </w:rPr>
            </w:pPr>
            <w:r w:rsidRPr="00F46F03">
              <w:rPr>
                <w:color w:val="000000"/>
                <w:sz w:val="20"/>
                <w:szCs w:val="20"/>
              </w:rPr>
              <w:t>93</w:t>
            </w:r>
          </w:p>
        </w:tc>
        <w:tc>
          <w:tcPr>
            <w:tcW w:w="1646" w:type="dxa"/>
            <w:tcBorders>
              <w:bottom w:val="single" w:sz="4" w:space="0" w:color="auto"/>
            </w:tcBorders>
            <w:vAlign w:val="center"/>
          </w:tcPr>
          <w:p w:rsidR="00F46F03" w:rsidRPr="00F46F03" w:rsidRDefault="00F46F03" w:rsidP="00625510">
            <w:pPr>
              <w:shd w:val="clear" w:color="auto" w:fill="FFFFFF" w:themeFill="background1"/>
              <w:contextualSpacing/>
              <w:jc w:val="center"/>
              <w:rPr>
                <w:color w:val="000000"/>
                <w:sz w:val="20"/>
                <w:szCs w:val="20"/>
              </w:rPr>
            </w:pPr>
            <w:r w:rsidRPr="00F46F03">
              <w:rPr>
                <w:color w:val="000000"/>
                <w:sz w:val="20"/>
                <w:szCs w:val="20"/>
              </w:rPr>
              <w:t>Не достигнут</w:t>
            </w:r>
          </w:p>
        </w:tc>
      </w:tr>
      <w:tr w:rsidR="00F46F03" w:rsidRPr="00F46F03" w:rsidTr="00F46F03">
        <w:trPr>
          <w:trHeight w:val="58"/>
        </w:trPr>
        <w:tc>
          <w:tcPr>
            <w:tcW w:w="622" w:type="dxa"/>
          </w:tcPr>
          <w:p w:rsidR="00F46F03" w:rsidRPr="00F46F03" w:rsidRDefault="00F46F03" w:rsidP="00625510">
            <w:pPr>
              <w:shd w:val="clear" w:color="auto" w:fill="FFFFFF" w:themeFill="background1"/>
              <w:suppressAutoHyphens/>
              <w:contextualSpacing/>
              <w:jc w:val="both"/>
              <w:rPr>
                <w:sz w:val="20"/>
                <w:szCs w:val="20"/>
                <w:lang w:eastAsia="en-US"/>
              </w:rPr>
            </w:pPr>
            <w:r w:rsidRPr="00F46F03">
              <w:rPr>
                <w:sz w:val="20"/>
                <w:szCs w:val="20"/>
                <w:lang w:eastAsia="en-US"/>
              </w:rPr>
              <w:t>5</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46F03" w:rsidRPr="00F46F03" w:rsidRDefault="00F46F03" w:rsidP="00625510">
            <w:pPr>
              <w:jc w:val="both"/>
              <w:rPr>
                <w:color w:val="000000"/>
                <w:sz w:val="20"/>
                <w:szCs w:val="20"/>
              </w:rPr>
            </w:pPr>
            <w:r w:rsidRPr="00F46F03">
              <w:rPr>
                <w:color w:val="000000"/>
                <w:sz w:val="20"/>
                <w:szCs w:val="20"/>
              </w:rPr>
              <w:t>Сокращение преступлений, совершенных с использованием информационно-телекоммуникационных технологий</w:t>
            </w:r>
          </w:p>
        </w:tc>
        <w:tc>
          <w:tcPr>
            <w:tcW w:w="1418" w:type="dxa"/>
            <w:tcBorders>
              <w:top w:val="single" w:sz="4" w:space="0" w:color="auto"/>
              <w:left w:val="nil"/>
              <w:bottom w:val="single" w:sz="4" w:space="0" w:color="auto"/>
              <w:right w:val="single" w:sz="4" w:space="0" w:color="auto"/>
            </w:tcBorders>
            <w:shd w:val="clear" w:color="auto" w:fill="auto"/>
            <w:vAlign w:val="center"/>
          </w:tcPr>
          <w:p w:rsidR="00F46F03" w:rsidRPr="00F46F03" w:rsidRDefault="00F46F03" w:rsidP="00625510">
            <w:pPr>
              <w:shd w:val="clear" w:color="auto" w:fill="FFFFFF" w:themeFill="background1"/>
              <w:suppressAutoHyphens/>
              <w:contextualSpacing/>
              <w:jc w:val="center"/>
              <w:rPr>
                <w:color w:val="000000"/>
                <w:sz w:val="20"/>
                <w:szCs w:val="20"/>
              </w:rPr>
            </w:pPr>
            <w:r w:rsidRPr="00F46F03">
              <w:rPr>
                <w:color w:val="000000"/>
                <w:sz w:val="20"/>
                <w:szCs w:val="20"/>
              </w:rPr>
              <w:t>%</w:t>
            </w:r>
          </w:p>
        </w:tc>
        <w:tc>
          <w:tcPr>
            <w:tcW w:w="1134" w:type="dxa"/>
            <w:tcBorders>
              <w:top w:val="single" w:sz="4" w:space="0" w:color="auto"/>
              <w:left w:val="nil"/>
              <w:bottom w:val="single" w:sz="4" w:space="0" w:color="auto"/>
              <w:right w:val="single" w:sz="4" w:space="0" w:color="auto"/>
            </w:tcBorders>
            <w:shd w:val="clear" w:color="auto" w:fill="auto"/>
            <w:vAlign w:val="center"/>
          </w:tcPr>
          <w:p w:rsidR="00F46F03" w:rsidRPr="00F46F03" w:rsidRDefault="00F46F03" w:rsidP="00625510">
            <w:pPr>
              <w:shd w:val="clear" w:color="auto" w:fill="FFFFFF" w:themeFill="background1"/>
              <w:contextualSpacing/>
              <w:jc w:val="center"/>
              <w:rPr>
                <w:color w:val="000000"/>
                <w:sz w:val="20"/>
                <w:szCs w:val="20"/>
              </w:rPr>
            </w:pPr>
            <w:r w:rsidRPr="00F46F03">
              <w:rPr>
                <w:color w:val="000000"/>
                <w:sz w:val="20"/>
                <w:szCs w:val="20"/>
              </w:rPr>
              <w:t>45,5</w:t>
            </w:r>
          </w:p>
        </w:tc>
        <w:tc>
          <w:tcPr>
            <w:tcW w:w="992" w:type="dxa"/>
            <w:tcBorders>
              <w:top w:val="single" w:sz="4" w:space="0" w:color="auto"/>
              <w:left w:val="nil"/>
              <w:bottom w:val="single" w:sz="4" w:space="0" w:color="auto"/>
              <w:right w:val="single" w:sz="4" w:space="0" w:color="auto"/>
            </w:tcBorders>
            <w:shd w:val="clear" w:color="auto" w:fill="auto"/>
            <w:vAlign w:val="center"/>
          </w:tcPr>
          <w:p w:rsidR="00F46F03" w:rsidRPr="00F46F03" w:rsidRDefault="00F46F03" w:rsidP="00625510">
            <w:pPr>
              <w:shd w:val="clear" w:color="auto" w:fill="FFFFFF" w:themeFill="background1"/>
              <w:contextualSpacing/>
              <w:jc w:val="center"/>
              <w:rPr>
                <w:color w:val="000000"/>
                <w:sz w:val="20"/>
                <w:szCs w:val="20"/>
              </w:rPr>
            </w:pPr>
            <w:r w:rsidRPr="00F46F03">
              <w:rPr>
                <w:color w:val="000000"/>
                <w:sz w:val="20"/>
                <w:szCs w:val="20"/>
              </w:rPr>
              <w:t>28,2</w:t>
            </w:r>
          </w:p>
        </w:tc>
        <w:tc>
          <w:tcPr>
            <w:tcW w:w="1646" w:type="dxa"/>
            <w:tcBorders>
              <w:top w:val="single" w:sz="4" w:space="0" w:color="auto"/>
              <w:bottom w:val="single" w:sz="4" w:space="0" w:color="auto"/>
            </w:tcBorders>
            <w:vAlign w:val="center"/>
          </w:tcPr>
          <w:p w:rsidR="00F46F03" w:rsidRPr="00F46F03" w:rsidRDefault="00F46F03" w:rsidP="00625510">
            <w:pPr>
              <w:shd w:val="clear" w:color="auto" w:fill="FFFFFF" w:themeFill="background1"/>
              <w:contextualSpacing/>
              <w:jc w:val="center"/>
              <w:rPr>
                <w:color w:val="000000"/>
                <w:sz w:val="20"/>
                <w:szCs w:val="20"/>
              </w:rPr>
            </w:pPr>
            <w:r w:rsidRPr="00F46F03">
              <w:rPr>
                <w:color w:val="000000"/>
                <w:sz w:val="20"/>
                <w:szCs w:val="20"/>
              </w:rPr>
              <w:t>Достигнут</w:t>
            </w:r>
          </w:p>
        </w:tc>
      </w:tr>
      <w:tr w:rsidR="00F46F03" w:rsidRPr="00F46F03" w:rsidTr="00F46F03">
        <w:trPr>
          <w:trHeight w:val="58"/>
        </w:trPr>
        <w:tc>
          <w:tcPr>
            <w:tcW w:w="622" w:type="dxa"/>
          </w:tcPr>
          <w:p w:rsidR="00F46F03" w:rsidRPr="00F46F03" w:rsidRDefault="00F46F03" w:rsidP="00625510">
            <w:pPr>
              <w:shd w:val="clear" w:color="auto" w:fill="FFFFFF" w:themeFill="background1"/>
              <w:suppressAutoHyphens/>
              <w:contextualSpacing/>
              <w:jc w:val="both"/>
              <w:rPr>
                <w:sz w:val="20"/>
                <w:szCs w:val="20"/>
                <w:lang w:eastAsia="en-US"/>
              </w:rPr>
            </w:pPr>
            <w:r w:rsidRPr="00F46F03">
              <w:rPr>
                <w:sz w:val="20"/>
                <w:szCs w:val="20"/>
                <w:lang w:eastAsia="en-US"/>
              </w:rPr>
              <w:t>6</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46F03" w:rsidRPr="00F46F03" w:rsidRDefault="00F46F03" w:rsidP="00625510">
            <w:pPr>
              <w:jc w:val="both"/>
              <w:rPr>
                <w:color w:val="000000"/>
                <w:sz w:val="20"/>
                <w:szCs w:val="20"/>
              </w:rPr>
            </w:pPr>
            <w:r w:rsidRPr="00F46F03">
              <w:rPr>
                <w:color w:val="000000"/>
                <w:sz w:val="20"/>
                <w:szCs w:val="20"/>
              </w:rPr>
              <w:t>Увеличение количества привлеченных лиц в профилактические мероприятия (детей и молодежи)</w:t>
            </w:r>
          </w:p>
        </w:tc>
        <w:tc>
          <w:tcPr>
            <w:tcW w:w="1418" w:type="dxa"/>
            <w:tcBorders>
              <w:top w:val="single" w:sz="4" w:space="0" w:color="auto"/>
              <w:left w:val="nil"/>
              <w:bottom w:val="single" w:sz="4" w:space="0" w:color="auto"/>
              <w:right w:val="single" w:sz="4" w:space="0" w:color="auto"/>
            </w:tcBorders>
            <w:shd w:val="clear" w:color="auto" w:fill="auto"/>
            <w:vAlign w:val="center"/>
          </w:tcPr>
          <w:p w:rsidR="00F46F03" w:rsidRPr="00F46F03" w:rsidRDefault="00F46F03" w:rsidP="00625510">
            <w:pPr>
              <w:shd w:val="clear" w:color="auto" w:fill="FFFFFF" w:themeFill="background1"/>
              <w:suppressAutoHyphens/>
              <w:contextualSpacing/>
              <w:jc w:val="center"/>
              <w:rPr>
                <w:color w:val="000000"/>
                <w:sz w:val="20"/>
                <w:szCs w:val="20"/>
              </w:rPr>
            </w:pPr>
            <w:r w:rsidRPr="00F46F03">
              <w:rPr>
                <w:color w:val="000000"/>
                <w:sz w:val="20"/>
                <w:szCs w:val="20"/>
              </w:rPr>
              <w:t>человек</w:t>
            </w:r>
          </w:p>
        </w:tc>
        <w:tc>
          <w:tcPr>
            <w:tcW w:w="1134" w:type="dxa"/>
            <w:tcBorders>
              <w:top w:val="single" w:sz="4" w:space="0" w:color="auto"/>
              <w:left w:val="nil"/>
              <w:bottom w:val="single" w:sz="4" w:space="0" w:color="auto"/>
              <w:right w:val="single" w:sz="4" w:space="0" w:color="auto"/>
            </w:tcBorders>
            <w:shd w:val="clear" w:color="auto" w:fill="auto"/>
            <w:vAlign w:val="center"/>
          </w:tcPr>
          <w:p w:rsidR="00F46F03" w:rsidRPr="00F46F03" w:rsidRDefault="00F46F03" w:rsidP="00625510">
            <w:pPr>
              <w:shd w:val="clear" w:color="auto" w:fill="FFFFFF" w:themeFill="background1"/>
              <w:contextualSpacing/>
              <w:jc w:val="center"/>
              <w:rPr>
                <w:color w:val="000000"/>
                <w:sz w:val="20"/>
                <w:szCs w:val="20"/>
              </w:rPr>
            </w:pPr>
            <w:r w:rsidRPr="00F46F03">
              <w:rPr>
                <w:color w:val="000000"/>
                <w:sz w:val="20"/>
                <w:szCs w:val="20"/>
              </w:rPr>
              <w:t>1000</w:t>
            </w:r>
          </w:p>
        </w:tc>
        <w:tc>
          <w:tcPr>
            <w:tcW w:w="992" w:type="dxa"/>
            <w:tcBorders>
              <w:top w:val="single" w:sz="4" w:space="0" w:color="auto"/>
              <w:left w:val="nil"/>
              <w:bottom w:val="single" w:sz="4" w:space="0" w:color="auto"/>
              <w:right w:val="single" w:sz="4" w:space="0" w:color="auto"/>
            </w:tcBorders>
            <w:shd w:val="clear" w:color="auto" w:fill="auto"/>
            <w:vAlign w:val="center"/>
          </w:tcPr>
          <w:p w:rsidR="00F46F03" w:rsidRPr="00F46F03" w:rsidRDefault="00F46F03" w:rsidP="00625510">
            <w:pPr>
              <w:shd w:val="clear" w:color="auto" w:fill="FFFFFF" w:themeFill="background1"/>
              <w:contextualSpacing/>
              <w:jc w:val="center"/>
              <w:rPr>
                <w:color w:val="000000"/>
                <w:sz w:val="20"/>
                <w:szCs w:val="20"/>
              </w:rPr>
            </w:pPr>
            <w:r w:rsidRPr="00F46F03">
              <w:rPr>
                <w:color w:val="000000"/>
                <w:sz w:val="20"/>
                <w:szCs w:val="20"/>
              </w:rPr>
              <w:t>46488</w:t>
            </w:r>
          </w:p>
        </w:tc>
        <w:tc>
          <w:tcPr>
            <w:tcW w:w="1646" w:type="dxa"/>
            <w:tcBorders>
              <w:top w:val="single" w:sz="4" w:space="0" w:color="auto"/>
              <w:bottom w:val="single" w:sz="4" w:space="0" w:color="auto"/>
            </w:tcBorders>
            <w:vAlign w:val="center"/>
          </w:tcPr>
          <w:p w:rsidR="00F46F03" w:rsidRPr="00F46F03" w:rsidRDefault="00F46F03" w:rsidP="00625510">
            <w:pPr>
              <w:shd w:val="clear" w:color="auto" w:fill="FFFFFF" w:themeFill="background1"/>
              <w:contextualSpacing/>
              <w:jc w:val="center"/>
              <w:rPr>
                <w:color w:val="000000"/>
                <w:sz w:val="20"/>
                <w:szCs w:val="20"/>
              </w:rPr>
            </w:pPr>
            <w:r w:rsidRPr="00F46F03">
              <w:rPr>
                <w:color w:val="000000"/>
                <w:sz w:val="20"/>
                <w:szCs w:val="20"/>
              </w:rPr>
              <w:t>Достигнут</w:t>
            </w:r>
          </w:p>
        </w:tc>
      </w:tr>
      <w:tr w:rsidR="00F46F03" w:rsidRPr="00F46F03" w:rsidTr="00F46F03">
        <w:trPr>
          <w:trHeight w:val="58"/>
        </w:trPr>
        <w:tc>
          <w:tcPr>
            <w:tcW w:w="622" w:type="dxa"/>
          </w:tcPr>
          <w:p w:rsidR="00F46F03" w:rsidRPr="00F46F03" w:rsidRDefault="00F46F03" w:rsidP="00625510">
            <w:pPr>
              <w:shd w:val="clear" w:color="auto" w:fill="FFFFFF" w:themeFill="background1"/>
              <w:suppressAutoHyphens/>
              <w:contextualSpacing/>
              <w:jc w:val="both"/>
              <w:rPr>
                <w:sz w:val="20"/>
                <w:szCs w:val="20"/>
                <w:lang w:eastAsia="en-US"/>
              </w:rPr>
            </w:pPr>
            <w:r w:rsidRPr="00F46F03">
              <w:rPr>
                <w:sz w:val="20"/>
                <w:szCs w:val="20"/>
                <w:lang w:eastAsia="en-US"/>
              </w:rPr>
              <w:t>7</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46F03" w:rsidRPr="00F46F03" w:rsidRDefault="00F46F03" w:rsidP="00625510">
            <w:pPr>
              <w:jc w:val="both"/>
              <w:rPr>
                <w:color w:val="000000"/>
                <w:sz w:val="20"/>
                <w:szCs w:val="20"/>
              </w:rPr>
            </w:pPr>
            <w:r w:rsidRPr="00F46F03">
              <w:rPr>
                <w:color w:val="000000"/>
                <w:sz w:val="20"/>
                <w:szCs w:val="20"/>
              </w:rPr>
              <w:t>Увеличение возмещения исковых обязательств осужденных, находящихся в исправительных учреждениях</w:t>
            </w:r>
          </w:p>
        </w:tc>
        <w:tc>
          <w:tcPr>
            <w:tcW w:w="1418" w:type="dxa"/>
            <w:tcBorders>
              <w:top w:val="single" w:sz="4" w:space="0" w:color="auto"/>
              <w:left w:val="nil"/>
              <w:bottom w:val="single" w:sz="4" w:space="0" w:color="auto"/>
              <w:right w:val="single" w:sz="4" w:space="0" w:color="auto"/>
            </w:tcBorders>
            <w:shd w:val="clear" w:color="auto" w:fill="auto"/>
            <w:vAlign w:val="center"/>
          </w:tcPr>
          <w:p w:rsidR="00F46F03" w:rsidRPr="00F46F03" w:rsidRDefault="00F46F03" w:rsidP="00625510">
            <w:pPr>
              <w:shd w:val="clear" w:color="auto" w:fill="FFFFFF" w:themeFill="background1"/>
              <w:suppressAutoHyphens/>
              <w:contextualSpacing/>
              <w:jc w:val="center"/>
              <w:rPr>
                <w:color w:val="000000"/>
                <w:sz w:val="20"/>
                <w:szCs w:val="20"/>
              </w:rPr>
            </w:pPr>
            <w:r w:rsidRPr="00F46F03">
              <w:rPr>
                <w:color w:val="000000"/>
                <w:sz w:val="20"/>
                <w:szCs w:val="20"/>
              </w:rPr>
              <w:t>рубли</w:t>
            </w:r>
          </w:p>
        </w:tc>
        <w:tc>
          <w:tcPr>
            <w:tcW w:w="1134" w:type="dxa"/>
            <w:tcBorders>
              <w:top w:val="single" w:sz="4" w:space="0" w:color="auto"/>
              <w:left w:val="nil"/>
              <w:bottom w:val="single" w:sz="4" w:space="0" w:color="auto"/>
              <w:right w:val="single" w:sz="4" w:space="0" w:color="auto"/>
            </w:tcBorders>
            <w:shd w:val="clear" w:color="auto" w:fill="auto"/>
            <w:vAlign w:val="center"/>
          </w:tcPr>
          <w:p w:rsidR="00F46F03" w:rsidRPr="00F46F03" w:rsidRDefault="00F46F03" w:rsidP="00625510">
            <w:pPr>
              <w:shd w:val="clear" w:color="auto" w:fill="FFFFFF" w:themeFill="background1"/>
              <w:contextualSpacing/>
              <w:jc w:val="center"/>
              <w:rPr>
                <w:color w:val="000000"/>
                <w:sz w:val="20"/>
                <w:szCs w:val="20"/>
              </w:rPr>
            </w:pPr>
            <w:r w:rsidRPr="00F46F03">
              <w:rPr>
                <w:color w:val="000000"/>
                <w:sz w:val="20"/>
                <w:szCs w:val="20"/>
              </w:rPr>
              <w:t>210</w:t>
            </w:r>
          </w:p>
        </w:tc>
        <w:tc>
          <w:tcPr>
            <w:tcW w:w="992" w:type="dxa"/>
            <w:tcBorders>
              <w:top w:val="single" w:sz="4" w:space="0" w:color="auto"/>
              <w:left w:val="nil"/>
              <w:bottom w:val="single" w:sz="4" w:space="0" w:color="auto"/>
              <w:right w:val="single" w:sz="4" w:space="0" w:color="auto"/>
            </w:tcBorders>
            <w:shd w:val="clear" w:color="auto" w:fill="auto"/>
            <w:vAlign w:val="center"/>
          </w:tcPr>
          <w:p w:rsidR="00F46F03" w:rsidRPr="00F46F03" w:rsidRDefault="00F46F03" w:rsidP="00625510">
            <w:pPr>
              <w:shd w:val="clear" w:color="auto" w:fill="FFFFFF" w:themeFill="background1"/>
              <w:contextualSpacing/>
              <w:jc w:val="center"/>
              <w:rPr>
                <w:color w:val="000000"/>
                <w:sz w:val="20"/>
                <w:szCs w:val="20"/>
              </w:rPr>
            </w:pPr>
            <w:r w:rsidRPr="00F46F03">
              <w:rPr>
                <w:color w:val="000000"/>
                <w:sz w:val="20"/>
                <w:szCs w:val="20"/>
              </w:rPr>
              <w:t>258</w:t>
            </w:r>
          </w:p>
        </w:tc>
        <w:tc>
          <w:tcPr>
            <w:tcW w:w="1646" w:type="dxa"/>
            <w:tcBorders>
              <w:top w:val="single" w:sz="4" w:space="0" w:color="auto"/>
              <w:bottom w:val="single" w:sz="4" w:space="0" w:color="auto"/>
            </w:tcBorders>
            <w:vAlign w:val="center"/>
          </w:tcPr>
          <w:p w:rsidR="00F46F03" w:rsidRPr="00F46F03" w:rsidRDefault="00F46F03" w:rsidP="00625510">
            <w:pPr>
              <w:shd w:val="clear" w:color="auto" w:fill="FFFFFF" w:themeFill="background1"/>
              <w:contextualSpacing/>
              <w:jc w:val="center"/>
              <w:rPr>
                <w:color w:val="000000"/>
                <w:sz w:val="20"/>
                <w:szCs w:val="20"/>
              </w:rPr>
            </w:pPr>
            <w:r w:rsidRPr="00F46F03">
              <w:rPr>
                <w:color w:val="000000"/>
                <w:sz w:val="20"/>
                <w:szCs w:val="20"/>
              </w:rPr>
              <w:t>Достигнут</w:t>
            </w:r>
          </w:p>
        </w:tc>
      </w:tr>
      <w:tr w:rsidR="00F46F03" w:rsidRPr="00F46F03" w:rsidTr="00F46F03">
        <w:trPr>
          <w:trHeight w:val="58"/>
        </w:trPr>
        <w:tc>
          <w:tcPr>
            <w:tcW w:w="622" w:type="dxa"/>
          </w:tcPr>
          <w:p w:rsidR="00F46F03" w:rsidRPr="00F46F03" w:rsidRDefault="00F46F03" w:rsidP="00625510">
            <w:pPr>
              <w:shd w:val="clear" w:color="auto" w:fill="FFFFFF" w:themeFill="background1"/>
              <w:suppressAutoHyphens/>
              <w:contextualSpacing/>
              <w:jc w:val="both"/>
              <w:rPr>
                <w:sz w:val="20"/>
                <w:szCs w:val="20"/>
                <w:lang w:eastAsia="en-US"/>
              </w:rPr>
            </w:pPr>
            <w:r w:rsidRPr="00F46F03">
              <w:rPr>
                <w:sz w:val="20"/>
                <w:szCs w:val="20"/>
                <w:lang w:eastAsia="en-US"/>
              </w:rPr>
              <w:t>8</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46F03" w:rsidRPr="00F46F03" w:rsidRDefault="00F46F03" w:rsidP="00625510">
            <w:pPr>
              <w:jc w:val="both"/>
              <w:rPr>
                <w:color w:val="000000"/>
                <w:sz w:val="20"/>
                <w:szCs w:val="20"/>
              </w:rPr>
            </w:pPr>
            <w:r w:rsidRPr="00F46F03">
              <w:rPr>
                <w:color w:val="000000"/>
                <w:sz w:val="20"/>
                <w:szCs w:val="20"/>
              </w:rPr>
              <w:t>Сокращение преступлений, совершенных с использованием информационно-телекоммуникационных технологий</w:t>
            </w:r>
          </w:p>
        </w:tc>
        <w:tc>
          <w:tcPr>
            <w:tcW w:w="1418" w:type="dxa"/>
            <w:tcBorders>
              <w:top w:val="single" w:sz="4" w:space="0" w:color="auto"/>
              <w:left w:val="nil"/>
              <w:bottom w:val="single" w:sz="4" w:space="0" w:color="auto"/>
              <w:right w:val="single" w:sz="4" w:space="0" w:color="auto"/>
            </w:tcBorders>
            <w:shd w:val="clear" w:color="auto" w:fill="auto"/>
            <w:vAlign w:val="center"/>
          </w:tcPr>
          <w:p w:rsidR="00F46F03" w:rsidRPr="00F46F03" w:rsidRDefault="00F46F03" w:rsidP="00625510">
            <w:pPr>
              <w:shd w:val="clear" w:color="auto" w:fill="FFFFFF" w:themeFill="background1"/>
              <w:suppressAutoHyphens/>
              <w:contextualSpacing/>
              <w:jc w:val="center"/>
              <w:rPr>
                <w:color w:val="000000"/>
                <w:sz w:val="20"/>
                <w:szCs w:val="20"/>
              </w:rPr>
            </w:pPr>
            <w:r w:rsidRPr="00F46F03">
              <w:rPr>
                <w:color w:val="000000"/>
                <w:sz w:val="20"/>
                <w:szCs w:val="20"/>
              </w:rPr>
              <w:t>число</w:t>
            </w:r>
          </w:p>
        </w:tc>
        <w:tc>
          <w:tcPr>
            <w:tcW w:w="1134" w:type="dxa"/>
            <w:tcBorders>
              <w:top w:val="single" w:sz="4" w:space="0" w:color="auto"/>
              <w:left w:val="nil"/>
              <w:bottom w:val="single" w:sz="4" w:space="0" w:color="auto"/>
              <w:right w:val="single" w:sz="4" w:space="0" w:color="auto"/>
            </w:tcBorders>
            <w:shd w:val="clear" w:color="auto" w:fill="auto"/>
            <w:vAlign w:val="center"/>
          </w:tcPr>
          <w:p w:rsidR="00F46F03" w:rsidRPr="00F46F03" w:rsidRDefault="00F46F03" w:rsidP="00625510">
            <w:pPr>
              <w:shd w:val="clear" w:color="auto" w:fill="FFFFFF" w:themeFill="background1"/>
              <w:contextualSpacing/>
              <w:jc w:val="center"/>
              <w:rPr>
                <w:color w:val="000000"/>
                <w:sz w:val="20"/>
                <w:szCs w:val="20"/>
              </w:rPr>
            </w:pPr>
            <w:r w:rsidRPr="00F46F03">
              <w:rPr>
                <w:color w:val="000000"/>
                <w:sz w:val="20"/>
                <w:szCs w:val="20"/>
              </w:rPr>
              <w:t>1073</w:t>
            </w:r>
          </w:p>
        </w:tc>
        <w:tc>
          <w:tcPr>
            <w:tcW w:w="992" w:type="dxa"/>
            <w:tcBorders>
              <w:top w:val="single" w:sz="4" w:space="0" w:color="auto"/>
              <w:left w:val="nil"/>
              <w:bottom w:val="single" w:sz="4" w:space="0" w:color="auto"/>
              <w:right w:val="single" w:sz="4" w:space="0" w:color="auto"/>
            </w:tcBorders>
            <w:shd w:val="clear" w:color="auto" w:fill="auto"/>
            <w:vAlign w:val="center"/>
          </w:tcPr>
          <w:p w:rsidR="00F46F03" w:rsidRPr="00F46F03" w:rsidRDefault="00F46F03" w:rsidP="00625510">
            <w:pPr>
              <w:shd w:val="clear" w:color="auto" w:fill="FFFFFF" w:themeFill="background1"/>
              <w:contextualSpacing/>
              <w:jc w:val="center"/>
              <w:rPr>
                <w:color w:val="000000"/>
                <w:sz w:val="20"/>
                <w:szCs w:val="20"/>
              </w:rPr>
            </w:pPr>
            <w:r w:rsidRPr="00F46F03">
              <w:rPr>
                <w:color w:val="000000"/>
                <w:sz w:val="20"/>
                <w:szCs w:val="20"/>
              </w:rPr>
              <w:t>917</w:t>
            </w:r>
          </w:p>
        </w:tc>
        <w:tc>
          <w:tcPr>
            <w:tcW w:w="1646" w:type="dxa"/>
            <w:tcBorders>
              <w:top w:val="single" w:sz="4" w:space="0" w:color="auto"/>
            </w:tcBorders>
            <w:vAlign w:val="center"/>
          </w:tcPr>
          <w:p w:rsidR="00F46F03" w:rsidRPr="00F46F03" w:rsidRDefault="00F46F03" w:rsidP="00625510">
            <w:pPr>
              <w:shd w:val="clear" w:color="auto" w:fill="FFFFFF" w:themeFill="background1"/>
              <w:contextualSpacing/>
              <w:jc w:val="center"/>
              <w:rPr>
                <w:color w:val="000000"/>
                <w:sz w:val="20"/>
                <w:szCs w:val="20"/>
              </w:rPr>
            </w:pPr>
            <w:r w:rsidRPr="00F46F03">
              <w:rPr>
                <w:color w:val="000000"/>
                <w:sz w:val="20"/>
                <w:szCs w:val="20"/>
              </w:rPr>
              <w:t>Не достигнут</w:t>
            </w:r>
          </w:p>
        </w:tc>
      </w:tr>
    </w:tbl>
    <w:p w:rsidR="0050171B" w:rsidRPr="00F46F03" w:rsidRDefault="00F46F03" w:rsidP="00F46F03">
      <w:r w:rsidRPr="00F46F03">
        <w:t xml:space="preserve"> </w:t>
      </w:r>
    </w:p>
    <w:p w:rsidR="00F46F03" w:rsidRPr="00F46F03" w:rsidRDefault="00F46F03" w:rsidP="00F46F03">
      <w:pPr>
        <w:spacing w:after="0"/>
        <w:jc w:val="both"/>
        <w:rPr>
          <w:sz w:val="20"/>
          <w:szCs w:val="20"/>
        </w:rPr>
      </w:pPr>
      <w:r w:rsidRPr="00F46F03">
        <w:rPr>
          <w:sz w:val="20"/>
          <w:szCs w:val="20"/>
        </w:rPr>
        <w:t>В результате оценки эффективности государственная программа «</w:t>
      </w:r>
      <w:r w:rsidRPr="00F46F03">
        <w:rPr>
          <w:sz w:val="20"/>
          <w:szCs w:val="20"/>
        </w:rPr>
        <w:t>Обеспечение общественного порядка и противодействия преступности в Республике</w:t>
      </w:r>
      <w:r w:rsidRPr="00F46F03">
        <w:rPr>
          <w:sz w:val="20"/>
          <w:szCs w:val="20"/>
        </w:rPr>
        <w:t xml:space="preserve"> Тыва» признана среднеэффективной»</w:t>
      </w:r>
    </w:p>
    <w:p w:rsidR="00F46F03" w:rsidRPr="00F46F03" w:rsidRDefault="00F46F03" w:rsidP="00F46F03"/>
    <w:sectPr w:rsidR="00F46F03" w:rsidRPr="00F46F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38C"/>
    <w:rsid w:val="0013338C"/>
    <w:rsid w:val="0050171B"/>
    <w:rsid w:val="00671EB9"/>
    <w:rsid w:val="00753C8C"/>
    <w:rsid w:val="00A27906"/>
    <w:rsid w:val="00F46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F03"/>
    <w:pPr>
      <w:spacing w:after="8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171B"/>
    <w:pPr>
      <w:spacing w:after="0"/>
    </w:pPr>
    <w:rPr>
      <w:rFonts w:ascii="Tahoma" w:hAnsi="Tahoma" w:cs="Tahoma"/>
      <w:sz w:val="16"/>
      <w:szCs w:val="16"/>
    </w:rPr>
  </w:style>
  <w:style w:type="character" w:customStyle="1" w:styleId="a4">
    <w:name w:val="Текст выноски Знак"/>
    <w:basedOn w:val="a0"/>
    <w:link w:val="a3"/>
    <w:uiPriority w:val="99"/>
    <w:semiHidden/>
    <w:rsid w:val="0050171B"/>
    <w:rPr>
      <w:rFonts w:ascii="Tahoma" w:hAnsi="Tahoma" w:cs="Tahoma"/>
      <w:sz w:val="16"/>
      <w:szCs w:val="16"/>
    </w:rPr>
  </w:style>
  <w:style w:type="table" w:styleId="a5">
    <w:name w:val="Table Grid"/>
    <w:basedOn w:val="a1"/>
    <w:uiPriority w:val="59"/>
    <w:rsid w:val="00501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ПАРАГРАФ,Выделеный,Текст с номером,Абзац списка для документа,Абзац списка4,Абзац списка основной,Маркер,Варианты ответов,Абзац списка3,Нумерованый список"/>
    <w:basedOn w:val="a"/>
    <w:link w:val="a7"/>
    <w:uiPriority w:val="34"/>
    <w:qFormat/>
    <w:rsid w:val="00F46F0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7">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Маркер Знак,Варианты ответов Знак,Абзац списка3 Знак,Нумерованый список Знак"/>
    <w:link w:val="a6"/>
    <w:uiPriority w:val="34"/>
    <w:qFormat/>
    <w:locked/>
    <w:rsid w:val="00F46F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F03"/>
    <w:pPr>
      <w:spacing w:after="8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171B"/>
    <w:pPr>
      <w:spacing w:after="0"/>
    </w:pPr>
    <w:rPr>
      <w:rFonts w:ascii="Tahoma" w:hAnsi="Tahoma" w:cs="Tahoma"/>
      <w:sz w:val="16"/>
      <w:szCs w:val="16"/>
    </w:rPr>
  </w:style>
  <w:style w:type="character" w:customStyle="1" w:styleId="a4">
    <w:name w:val="Текст выноски Знак"/>
    <w:basedOn w:val="a0"/>
    <w:link w:val="a3"/>
    <w:uiPriority w:val="99"/>
    <w:semiHidden/>
    <w:rsid w:val="0050171B"/>
    <w:rPr>
      <w:rFonts w:ascii="Tahoma" w:hAnsi="Tahoma" w:cs="Tahoma"/>
      <w:sz w:val="16"/>
      <w:szCs w:val="16"/>
    </w:rPr>
  </w:style>
  <w:style w:type="table" w:styleId="a5">
    <w:name w:val="Table Grid"/>
    <w:basedOn w:val="a1"/>
    <w:uiPriority w:val="59"/>
    <w:rsid w:val="00501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ПАРАГРАФ,Выделеный,Текст с номером,Абзац списка для документа,Абзац списка4,Абзац списка основной,Маркер,Варианты ответов,Абзац списка3,Нумерованый список"/>
    <w:basedOn w:val="a"/>
    <w:link w:val="a7"/>
    <w:uiPriority w:val="34"/>
    <w:qFormat/>
    <w:rsid w:val="00F46F0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7">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Маркер Знак,Варианты ответов Знак,Абзац списка3 Знак,Нумерованый список Знак"/>
    <w:link w:val="a6"/>
    <w:uiPriority w:val="34"/>
    <w:qFormat/>
    <w:locked/>
    <w:rsid w:val="00F46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200"/>
              <a:t>Освоение лимита по источникам финансирования за 2024 год, тыс. рублей</a:t>
            </a:r>
          </a:p>
        </c:rich>
      </c:tx>
      <c:layout>
        <c:manualLayout>
          <c:xMode val="edge"/>
          <c:yMode val="edge"/>
          <c:x val="2.9237886783586693E-2"/>
          <c:y val="3.7348419682833763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283983936636897"/>
          <c:y val="0.18985994397759104"/>
          <c:w val="0.8255661284388921"/>
          <c:h val="0.52158558947254885"/>
        </c:manualLayout>
      </c:layout>
      <c:bar3DChart>
        <c:barDir val="col"/>
        <c:grouping val="clustered"/>
        <c:varyColors val="0"/>
        <c:ser>
          <c:idx val="0"/>
          <c:order val="0"/>
          <c:tx>
            <c:strRef>
              <c:f>Лист1!$B$1</c:f>
              <c:strCache>
                <c:ptCount val="1"/>
                <c:pt idx="0">
                  <c:v>Лимит</c:v>
                </c:pt>
              </c:strCache>
            </c:strRef>
          </c:tx>
          <c:spPr>
            <a:solidFill>
              <a:schemeClr val="accent1"/>
            </a:solidFill>
            <a:ln>
              <a:noFill/>
            </a:ln>
            <a:effectLst/>
            <a:sp3d/>
          </c:spPr>
          <c:invertIfNegative val="0"/>
          <c:dLbls>
            <c:dLbl>
              <c:idx val="0"/>
              <c:layout>
                <c:manualLayout>
                  <c:x val="-3.0225771248558596E-2"/>
                  <c:y val="-8.3099759588874916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5CE-4BF8-A0A7-A4C33D06E2AC}"/>
                </c:ext>
              </c:extLst>
            </c:dLbl>
            <c:dLbl>
              <c:idx val="1"/>
              <c:layout>
                <c:manualLayout>
                  <c:x val="-4.6296296296297144E-3"/>
                  <c:y val="0.1309523809523809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5CE-4BF8-A0A7-A4C33D06E2AC}"/>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c:f>
              <c:strCache>
                <c:ptCount val="1"/>
                <c:pt idx="0">
                  <c:v>РБ</c:v>
                </c:pt>
              </c:strCache>
            </c:strRef>
          </c:cat>
          <c:val>
            <c:numRef>
              <c:f>Лист1!$B$2:$B$2</c:f>
              <c:numCache>
                <c:formatCode>_(* #,##0.00_);_(* \(#,##0.00\);_(* "-"??_);_(@_)</c:formatCode>
                <c:ptCount val="1"/>
                <c:pt idx="0">
                  <c:v>9163</c:v>
                </c:pt>
              </c:numCache>
            </c:numRef>
          </c:val>
          <c:extLst xmlns:c16r2="http://schemas.microsoft.com/office/drawing/2015/06/chart">
            <c:ext xmlns:c16="http://schemas.microsoft.com/office/drawing/2014/chart" uri="{C3380CC4-5D6E-409C-BE32-E72D297353CC}">
              <c16:uniqueId val="{00000002-65CE-4BF8-A0A7-A4C33D06E2AC}"/>
            </c:ext>
          </c:extLst>
        </c:ser>
        <c:ser>
          <c:idx val="1"/>
          <c:order val="1"/>
          <c:tx>
            <c:strRef>
              <c:f>Лист1!$C$1</c:f>
              <c:strCache>
                <c:ptCount val="1"/>
                <c:pt idx="0">
                  <c:v>Освоено</c:v>
                </c:pt>
              </c:strCache>
            </c:strRef>
          </c:tx>
          <c:spPr>
            <a:solidFill>
              <a:schemeClr val="accent2"/>
            </a:solidFill>
            <a:ln>
              <a:noFill/>
            </a:ln>
            <a:effectLst/>
            <a:sp3d/>
          </c:spPr>
          <c:invertIfNegative val="0"/>
          <c:dLbls>
            <c:dLbl>
              <c:idx val="0"/>
              <c:layout>
                <c:manualLayout>
                  <c:x val="4.6174131060472495E-2"/>
                  <c:y val="-0.1252365513134387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5CE-4BF8-A0A7-A4C33D06E2AC}"/>
                </c:ext>
              </c:extLst>
            </c:dLbl>
            <c:dLbl>
              <c:idx val="1"/>
              <c:layout>
                <c:manualLayout>
                  <c:x val="3.935185185185177E-2"/>
                  <c:y val="-3.968253968253975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5CE-4BF8-A0A7-A4C33D06E2AC}"/>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Лист1!$A$2:$A$2</c:f>
              <c:strCache>
                <c:ptCount val="1"/>
                <c:pt idx="0">
                  <c:v>РБ</c:v>
                </c:pt>
              </c:strCache>
            </c:strRef>
          </c:cat>
          <c:val>
            <c:numRef>
              <c:f>Лист1!$C$2:$C$2</c:f>
              <c:numCache>
                <c:formatCode>_(* #,##0.00_);_(* \(#,##0.00\);_(* "-"??_);_(@_)</c:formatCode>
                <c:ptCount val="1"/>
                <c:pt idx="0">
                  <c:v>8450.7000000000007</c:v>
                </c:pt>
              </c:numCache>
            </c:numRef>
          </c:val>
          <c:extLst xmlns:c16r2="http://schemas.microsoft.com/office/drawing/2015/06/chart">
            <c:ext xmlns:c16="http://schemas.microsoft.com/office/drawing/2014/chart" uri="{C3380CC4-5D6E-409C-BE32-E72D297353CC}">
              <c16:uniqueId val="{00000005-65CE-4BF8-A0A7-A4C33D06E2AC}"/>
            </c:ext>
          </c:extLst>
        </c:ser>
        <c:dLbls>
          <c:showLegendKey val="0"/>
          <c:showVal val="0"/>
          <c:showCatName val="0"/>
          <c:showSerName val="0"/>
          <c:showPercent val="0"/>
          <c:showBubbleSize val="0"/>
        </c:dLbls>
        <c:gapWidth val="150"/>
        <c:shape val="box"/>
        <c:axId val="102944128"/>
        <c:axId val="159082368"/>
        <c:axId val="0"/>
      </c:bar3DChart>
      <c:catAx>
        <c:axId val="1029441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9082368"/>
        <c:crosses val="autoZero"/>
        <c:auto val="1"/>
        <c:lblAlgn val="ctr"/>
        <c:lblOffset val="100"/>
        <c:noMultiLvlLbl val="0"/>
      </c:catAx>
      <c:valAx>
        <c:axId val="159082368"/>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02944128"/>
        <c:crosses val="autoZero"/>
        <c:crossBetween val="between"/>
      </c:valAx>
      <c:spPr>
        <a:noFill/>
        <a:ln>
          <a:noFill/>
        </a:ln>
        <a:effectLst/>
      </c:spPr>
    </c:plotArea>
    <c:legend>
      <c:legendPos val="b"/>
      <c:layout>
        <c:manualLayout>
          <c:xMode val="edge"/>
          <c:yMode val="edge"/>
          <c:x val="0.63226847085810378"/>
          <c:y val="0.75256175169884587"/>
          <c:w val="0.21838398733727188"/>
          <c:h val="0.10116588367630516"/>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1101</Words>
  <Characters>6282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Лопсан Омак Владиславович</dc:creator>
  <cp:keywords/>
  <dc:description/>
  <cp:lastModifiedBy>Лопсан Омак Владиславович</cp:lastModifiedBy>
  <cp:revision>4</cp:revision>
  <dcterms:created xsi:type="dcterms:W3CDTF">2025-06-06T07:43:00Z</dcterms:created>
  <dcterms:modified xsi:type="dcterms:W3CDTF">2025-06-06T08:22:00Z</dcterms:modified>
</cp:coreProperties>
</file>